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75992-10ka1_therap.htm"/>
      <w:bookmarkStart w:id="1" w:name="ksea027599210ka1_therap"/>
      <w:bookmarkEnd w:id="0"/>
      <w:bookmarkEnd w:id="1"/>
      <w:r>
        <w:rPr>
          <w:caps w:val="false"/>
          <w:smallCaps w:val="false"/>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 to_______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001-00100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257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87-0233535</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245"/>
        <w:gridCol w:w="90"/>
        <w:gridCol w:w="980"/>
      </w:tblGrid>
      <w:tr>
        <w:trPr/>
        <w:tc>
          <w:tcPr>
            <w:tcW w:w="32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951 Yamato Road, Suite 220</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Boca Raton, Florida</w:t>
            </w:r>
          </w:p>
        </w:tc>
        <w:tc>
          <w:tcPr>
            <w:tcW w:w="9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33431</w:t>
            </w:r>
          </w:p>
        </w:tc>
      </w:tr>
      <w:tr>
        <w:trPr/>
        <w:tc>
          <w:tcPr>
            <w:tcW w:w="32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561-961-1900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80" w:type="dxa"/>
        <w:jc w:val="left"/>
        <w:tblInd w:w="0" w:type="dxa"/>
        <w:tblLayout w:type="fixed"/>
        <w:tblCellMar>
          <w:top w:w="0" w:type="dxa"/>
          <w:left w:w="0" w:type="dxa"/>
          <w:bottom w:w="28" w:type="dxa"/>
          <w:right w:w="0" w:type="dxa"/>
        </w:tblCellMar>
      </w:tblPr>
      <w:tblGrid>
        <w:gridCol w:w="3710"/>
        <w:gridCol w:w="90"/>
        <w:gridCol w:w="1340"/>
        <w:gridCol w:w="90"/>
        <w:gridCol w:w="3650"/>
      </w:tblGrid>
      <w:tr>
        <w:trPr/>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90" w:type="dxa"/>
            <w:tcBorders/>
            <w:tcMar>
              <w:bottom w:w="0" w:type="dxa"/>
            </w:tcMar>
            <w:vAlign w:val="center"/>
          </w:tcPr>
          <w:p>
            <w:pPr>
              <w:pStyle w:val="TableContents"/>
              <w:bidi w:val="0"/>
              <w:spacing w:before="0" w:after="283"/>
              <w:jc w:val="left"/>
              <w:rPr/>
            </w:pPr>
            <w:r>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 par value $0.001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TXMD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90" w:type="dxa"/>
        <w:jc w:val="left"/>
        <w:tblInd w:w="0" w:type="dxa"/>
        <w:tblLayout w:type="fixed"/>
        <w:tblCellMar>
          <w:top w:w="0" w:type="dxa"/>
          <w:left w:w="0" w:type="dxa"/>
          <w:bottom w:w="0" w:type="dxa"/>
          <w:right w:w="0" w:type="dxa"/>
        </w:tblCellMar>
      </w:tblPr>
      <w:tblGrid>
        <w:gridCol w:w="2270"/>
        <w:gridCol w:w="260"/>
        <w:gridCol w:w="2255"/>
        <w:gridCol w:w="30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registrant’s most recently completed second fiscal quarter, the aggregate market value of the voting and non-voting common equity held by non-affiliates computed by reference to the market price at which the common equity was last sold was $9,036,147.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30, 2026 there were outstanding 11,574,362 shares of the registrant’s common stock, par value $0.001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on Form 10-K/A (“Amendment No. 1”) to our Annual Report on Form 10-K for the fiscal year ended December 31, 2025, as filed with U.S. Securities and Exchange Commission on March 30, 2026, is being filed in order to correct printer errors in the following sections: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 printer error in the section entitled, “Item 12. Security ownership of certain beneficial owners and management and related stockholder matters” in Footnote 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Printer errors in the section entitled, “Item 15. Exhibits and financial statement schedules” to update and correct hyperlinks to certain exhibits and to add Footnote 34.</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A printer error in the “Index to Financial Statements” to update and correct the Report of Independent Registered Public Accounting Firm and to delete a placeholder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there are no other changes contained in this Amendment No. 1, and we have not updated disclosures included therein to reflect any subsequent events.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
        <w:gridCol w:w="708"/>
        <w:gridCol w:w="8316"/>
        <w:gridCol w:w="90"/>
        <w:gridCol w:w="486"/>
      </w:tblGrid>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Part I</w:t>
              </w:r>
            </w:hyperlink>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w:t>
            </w:r>
          </w:p>
        </w:tc>
        <w:tc>
          <w:tcPr>
            <w:tcW w:w="8316" w:type="dxa"/>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Business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1A.</w:t>
            </w:r>
          </w:p>
        </w:tc>
        <w:tc>
          <w:tcPr>
            <w:tcW w:w="8316"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Risk factors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1B.</w:t>
            </w:r>
          </w:p>
        </w:tc>
        <w:tc>
          <w:tcPr>
            <w:tcW w:w="8316" w:type="dxa"/>
            <w:tcBorders/>
            <w:vAlign w:val="center"/>
          </w:tcPr>
          <w:p>
            <w:pPr>
              <w:pStyle w:val="TableContents"/>
              <w:bidi w:val="0"/>
              <w:spacing w:before="0" w:after="283"/>
              <w:jc w:val="left"/>
              <w:rPr/>
            </w:pPr>
            <w:hyperlink w:anchor="a_004">
              <w:r>
                <w:rPr>
                  <w:rStyle w:val="InternetLink"/>
                  <w:rFonts w:ascii="Times New Roman;Times;Serif" w:hAnsi="Times New Roman;Times;Serif"/>
                  <w:sz w:val="20"/>
                </w:rPr>
                <w:t>Unresolved staff comments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1C.</w:t>
            </w:r>
          </w:p>
        </w:tc>
        <w:tc>
          <w:tcPr>
            <w:tcW w:w="8316"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Cybersecurity</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2.</w:t>
            </w:r>
          </w:p>
        </w:tc>
        <w:tc>
          <w:tcPr>
            <w:tcW w:w="8316" w:type="dxa"/>
            <w:tcBorders/>
            <w:vAlign w:val="center"/>
          </w:tcPr>
          <w:p>
            <w:pPr>
              <w:pStyle w:val="TableContents"/>
              <w:bidi w:val="0"/>
              <w:spacing w:before="0" w:after="283"/>
              <w:jc w:val="left"/>
              <w:rPr/>
            </w:pPr>
            <w:hyperlink w:anchor="a_006">
              <w:r>
                <w:rPr>
                  <w:rStyle w:val="InternetLink"/>
                  <w:rFonts w:ascii="Times New Roman;Times;Serif" w:hAnsi="Times New Roman;Times;Serif"/>
                  <w:sz w:val="20"/>
                </w:rPr>
                <w:t>Properties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3.</w:t>
            </w:r>
          </w:p>
        </w:tc>
        <w:tc>
          <w:tcPr>
            <w:tcW w:w="8316"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Legal proceedings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4.</w:t>
            </w:r>
          </w:p>
        </w:tc>
        <w:tc>
          <w:tcPr>
            <w:tcW w:w="8316" w:type="dxa"/>
            <w:tcBorders/>
            <w:vAlign w:val="center"/>
          </w:tcPr>
          <w:p>
            <w:pPr>
              <w:pStyle w:val="TableContents"/>
              <w:bidi w:val="0"/>
              <w:spacing w:before="0" w:after="283"/>
              <w:jc w:val="left"/>
              <w:rPr/>
            </w:pPr>
            <w:hyperlink w:anchor="a_008">
              <w:r>
                <w:rPr>
                  <w:rStyle w:val="InternetLink"/>
                  <w:rFonts w:ascii="Times New Roman;Times;Serif" w:hAnsi="Times New Roman;Times;Serif"/>
                  <w:sz w:val="20"/>
                </w:rPr>
                <w:t>Mine safety disclosures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left"/>
              <w:rPr/>
            </w:pPr>
            <w:hyperlink w:anchor="a_033">
              <w:r>
                <w:rPr>
                  <w:rStyle w:val="InternetLink"/>
                  <w:rFonts w:ascii="Times New Roman;Times;Serif" w:hAnsi="Times New Roman;Times;Serif"/>
                  <w:sz w:val="20"/>
                </w:rPr>
                <w:t>Part II</w:t>
              </w:r>
            </w:hyperlink>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5.</w:t>
            </w:r>
          </w:p>
        </w:tc>
        <w:tc>
          <w:tcPr>
            <w:tcW w:w="8316"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Market for registrant’s common equity, related stockholder matters, and issuer purchases of equity securities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6.</w:t>
            </w:r>
          </w:p>
        </w:tc>
        <w:tc>
          <w:tcPr>
            <w:tcW w:w="8316" w:type="dxa"/>
            <w:tcBorders/>
            <w:vAlign w:val="center"/>
          </w:tcPr>
          <w:p>
            <w:pPr>
              <w:pStyle w:val="TableContents"/>
              <w:bidi w:val="0"/>
              <w:spacing w:before="0" w:after="283"/>
              <w:jc w:val="left"/>
              <w:rPr/>
            </w:pPr>
            <w:hyperlink w:anchor="a_010">
              <w:r>
                <w:rPr>
                  <w:rStyle w:val="InternetLink"/>
                  <w:rFonts w:ascii="Times New Roman;Times;Serif" w:hAnsi="Times New Roman;Times;Serif"/>
                  <w:sz w:val="20"/>
                </w:rPr>
                <w:t>Reserved</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w:t>
            </w:r>
          </w:p>
        </w:tc>
        <w:tc>
          <w:tcPr>
            <w:tcW w:w="8316"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7A.</w:t>
            </w:r>
          </w:p>
        </w:tc>
        <w:tc>
          <w:tcPr>
            <w:tcW w:w="8316"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Quantitative and qualitative disclosures about market risk</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8.</w:t>
            </w:r>
          </w:p>
        </w:tc>
        <w:tc>
          <w:tcPr>
            <w:tcW w:w="8316"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Financial statements and supplementary data</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w:t>
            </w:r>
          </w:p>
        </w:tc>
        <w:tc>
          <w:tcPr>
            <w:tcW w:w="8316"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Changes in and disagreements with accountants on accounting and financial disclosure</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9A.</w:t>
            </w:r>
          </w:p>
        </w:tc>
        <w:tc>
          <w:tcPr>
            <w:tcW w:w="8316"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Controls and procedures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9B.</w:t>
            </w:r>
          </w:p>
        </w:tc>
        <w:tc>
          <w:tcPr>
            <w:tcW w:w="8316"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Other information</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9C.</w:t>
            </w:r>
          </w:p>
        </w:tc>
        <w:tc>
          <w:tcPr>
            <w:tcW w:w="8316"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Disclosure regarding foreign jurisdictions that prevent inspections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60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Part III</w:t>
              </w:r>
            </w:hyperlink>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10.</w:t>
            </w:r>
          </w:p>
        </w:tc>
        <w:tc>
          <w:tcPr>
            <w:tcW w:w="8316" w:type="dxa"/>
            <w:tcBorders/>
            <w:vAlign w:val="center"/>
          </w:tcPr>
          <w:p>
            <w:pPr>
              <w:pStyle w:val="TableContents"/>
              <w:bidi w:val="0"/>
              <w:spacing w:before="0" w:after="283"/>
              <w:jc w:val="left"/>
              <w:rPr/>
            </w:pPr>
            <w:hyperlink w:anchor="t_001">
              <w:r>
                <w:rPr>
                  <w:rStyle w:val="InternetLink"/>
                  <w:rFonts w:ascii="Times New Roman;Times;Serif" w:hAnsi="Times New Roman;Times;Serif"/>
                  <w:sz w:val="20"/>
                </w:rPr>
                <w:t>Directors, executive officers and corporate governance</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11.</w:t>
            </w:r>
          </w:p>
        </w:tc>
        <w:tc>
          <w:tcPr>
            <w:tcW w:w="8316"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Executive compensation</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12.</w:t>
            </w:r>
          </w:p>
        </w:tc>
        <w:tc>
          <w:tcPr>
            <w:tcW w:w="8316" w:type="dxa"/>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Security ownership of certain beneficial owners and management and related stockholder matters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13.</w:t>
            </w:r>
          </w:p>
        </w:tc>
        <w:tc>
          <w:tcPr>
            <w:tcW w:w="8316"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Certain relationships and related transactions, and director independence</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14.</w:t>
            </w:r>
          </w:p>
        </w:tc>
        <w:tc>
          <w:tcPr>
            <w:tcW w:w="8316"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Principal accountant fees and services</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pPr>
            <w:r>
              <w:rPr/>
              <w:t> </w:t>
            </w:r>
          </w:p>
        </w:tc>
        <w:tc>
          <w:tcPr>
            <w:tcW w:w="83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pPr>
            <w:r>
              <w:rPr/>
              <w:t> </w:t>
            </w:r>
          </w:p>
        </w:tc>
      </w:tr>
      <w:tr>
        <w:trPr/>
        <w:tc>
          <w:tcPr>
            <w:tcW w:w="605" w:type="dxa"/>
            <w:tcBorders/>
            <w:vAlign w:val="center"/>
          </w:tcPr>
          <w:p>
            <w:pPr>
              <w:pStyle w:val="TableContents"/>
              <w:bidi w:val="0"/>
              <w:spacing w:before="0" w:after="283"/>
              <w:jc w:val="left"/>
              <w:rPr/>
            </w:pPr>
            <w:hyperlink w:anchor="a_024">
              <w:r>
                <w:rPr>
                  <w:rStyle w:val="InternetLink"/>
                  <w:rFonts w:ascii="Times New Roman;Times;Serif" w:hAnsi="Times New Roman;Times;Serif"/>
                  <w:sz w:val="20"/>
                </w:rPr>
                <w:t>Part IV</w:t>
              </w:r>
            </w:hyperlink>
          </w:p>
        </w:tc>
        <w:tc>
          <w:tcPr>
            <w:tcW w:w="708" w:type="dxa"/>
            <w:tcBorders/>
            <w:vAlign w:val="center"/>
          </w:tcPr>
          <w:p>
            <w:pPr>
              <w:pStyle w:val="TableContents"/>
              <w:bidi w:val="0"/>
              <w:spacing w:before="0" w:after="283"/>
              <w:ind w:left="0" w:right="0" w:hanging="180"/>
              <w:jc w:val="left"/>
              <w:rPr/>
            </w:pPr>
            <w:r>
              <w:rPr/>
              <w:t> </w:t>
            </w:r>
          </w:p>
        </w:tc>
        <w:tc>
          <w:tcPr>
            <w:tcW w:w="83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pPr>
            <w:r>
              <w:rPr/>
              <w:t> </w:t>
            </w:r>
          </w:p>
        </w:tc>
      </w:tr>
      <w:tr>
        <w:trPr/>
        <w:tc>
          <w:tcPr>
            <w:tcW w:w="605" w:type="dxa"/>
            <w:tcBorders/>
            <w:shd w:fill="CCEEFF" w:val="clear"/>
            <w:vAlign w:val="center"/>
          </w:tcPr>
          <w:p>
            <w:pPr>
              <w:pStyle w:val="TableContents"/>
              <w:bidi w:val="0"/>
              <w:spacing w:before="0" w:after="283"/>
              <w:jc w:val="center"/>
              <w:rPr/>
            </w:pPr>
            <w:r>
              <w:rPr/>
              <w:t> </w:t>
            </w:r>
          </w:p>
        </w:tc>
        <w:tc>
          <w:tcPr>
            <w:tcW w:w="708"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15.</w:t>
            </w:r>
          </w:p>
        </w:tc>
        <w:tc>
          <w:tcPr>
            <w:tcW w:w="8316"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Exhibits and financial statement schedules</w:t>
              </w:r>
            </w:hyperlink>
          </w:p>
        </w:tc>
        <w:tc>
          <w:tcPr>
            <w:tcW w:w="90" w:type="dxa"/>
            <w:tcBorders/>
            <w:shd w:fill="CCEEFF" w:val="clear"/>
            <w:vAlign w:val="center"/>
          </w:tcPr>
          <w:p>
            <w:pPr>
              <w:pStyle w:val="TableContents"/>
              <w:bidi w:val="0"/>
              <w:spacing w:before="0" w:after="283"/>
              <w:jc w:val="center"/>
              <w:rPr/>
            </w:pPr>
            <w:r>
              <w:rPr/>
              <w:t> </w:t>
            </w:r>
          </w:p>
        </w:tc>
        <w:tc>
          <w:tcPr>
            <w:tcW w:w="48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605" w:type="dxa"/>
            <w:tcBorders/>
            <w:vAlign w:val="center"/>
          </w:tcPr>
          <w:p>
            <w:pPr>
              <w:pStyle w:val="TableContents"/>
              <w:bidi w:val="0"/>
              <w:spacing w:before="0" w:after="283"/>
              <w:jc w:val="center"/>
              <w:rPr/>
            </w:pPr>
            <w:r>
              <w:rPr/>
              <w:t> </w:t>
            </w:r>
          </w:p>
        </w:tc>
        <w:tc>
          <w:tcPr>
            <w:tcW w:w="708"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Item 16.</w:t>
            </w:r>
          </w:p>
        </w:tc>
        <w:tc>
          <w:tcPr>
            <w:tcW w:w="8316" w:type="dxa"/>
            <w:tcBorders/>
            <w:vAlign w:val="center"/>
          </w:tcPr>
          <w:p>
            <w:pPr>
              <w:pStyle w:val="TableContents"/>
              <w:bidi w:val="0"/>
              <w:spacing w:before="0" w:after="283"/>
              <w:jc w:val="left"/>
              <w:rPr/>
            </w:pPr>
            <w:hyperlink w:anchor="a_026">
              <w:r>
                <w:rPr>
                  <w:rStyle w:val="InternetLink"/>
                  <w:rFonts w:ascii="Times New Roman;Times;Serif" w:hAnsi="Times New Roman;Times;Serif"/>
                  <w:sz w:val="20"/>
                </w:rPr>
                <w:t>Form 10-K summary</w:t>
              </w:r>
            </w:hyperlink>
          </w:p>
        </w:tc>
        <w:tc>
          <w:tcPr>
            <w:tcW w:w="90" w:type="dxa"/>
            <w:tcBorders/>
            <w:vAlign w:val="center"/>
          </w:tcPr>
          <w:p>
            <w:pPr>
              <w:pStyle w:val="TableContents"/>
              <w:bidi w:val="0"/>
              <w:spacing w:before="0" w:after="283"/>
              <w:jc w:val="center"/>
              <w:rPr/>
            </w:pPr>
            <w:r>
              <w:rPr/>
              <w:t> </w:t>
            </w:r>
          </w:p>
        </w:tc>
        <w:tc>
          <w:tcPr>
            <w:tcW w:w="486"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Annual Report on Form 10-K (“2025 10-K Report”), the terms “we,” “us,” “our,” “TherapeuticsMD,” “the Company,” or “our company” refer to TherapeuticsMD, Inc., a Nevada corporation, and unless specified otherwise, include our wholly owned subsidiaries vitaMedMD, LLC, a Delaware limited liability company (“vitaMed”), and BocaGreenMD, Inc., a Nevada corporation (“BocaGreen”).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is a pharmaceutical royalty company that owns or has rights to trademarks, service marks, or trade names that were previously used in connection with the operation of its business, or are now licensed by another party, including TherapeuticsMD®, vitaMedMD®, BocaGreenMD®, BIJUVA®, and IMVEXXY®, which are protected under applicable intellectual property laws and are the property of the Company. This 2025 10-K Report also contains trademarks, trade names and service marks of other companies, which are the property of their respective owners. Solely for convenience, trademarks, trade names and service marks referred to in this 2025 10-K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2025 10-K Report includes market and industry data that we obtained from periodic industry publications, third-party studies and surveys, government-agency sources, filings of public companies in our industry, and internal-company surveys. Industry publications and surveys generally state that their information has been obtained from sources believed to be reliable. Although we believe that the industry and market data below is reliable as of the date of this 2025 10-K Report, this information could prove to be inaccurate as a result of a variety of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2025 10-K Report contains forward-looking statements within the meaning of the Private Securities Litigation Reform Act of 1995. These forward-looking statements involve substantial risks and uncertainties. For example, statements regarding our operations, financial position, business strategy, exploration of potential strategic alternatives, and other plans and objectives for future operations, and assumptions and predictions about future demand, marketing, expenses and sales are all forward-looking statements. These statements may be found in the items of this 2025 10-K Report entitled “Business” and “Management’s Discussion and Analysis of Financial Condition and Results of Operations,” as well as in this 2025 10-K Report generally. These statements are generally accompanied by words such as “intend,” “anticipate,” “believe,” “estimate,” “potential(ly),” “continue,” “forecast,” “predict,” “plan,” “may,” “will,” “could,” “would,” “should,” “expect,” or the negative of such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of this 2025 10-K Report, but we cannot assure you that these assumptions and expectations will prove to have been correct or that we will take any action that we may presently be planning. These forward-looking statements are inherently subject to known and unknown risks and uncertainties. Actual results or experience may differ materially from those expected or anticipated in the forward-looking statements. Factors that could cause or contribute to such differences include, but are not limited to, competition from other businesses, market and general economic factors, and the other risks discussed in Item 1A of this 2025 10-K Report. This discussion should be read in conjunction with the consolidated financial statements and notes thereto included in this 2025 10-K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some of the important factors that could cause future events to differ from our current expectations and they are described in this 2025 10-K Report in the section entitled “Risk Factors” that you should review carefully. Please consider our forward-looking statements in light of those risks as you read this 2025 10-K Report. If one or more of these or other risks or uncertainties materialize, or if our underlying assumptions prove to be incorrect, actual results may vary materially from what we project. We do not undertake to update any forward-looking statements or to publicly announce the results of any revisions to any statements to reflect new information or future events or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(“Mayne Pharma Group”),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(the “Minimum Annual Royalty”).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Mayne Pharma reduced the second quarterly royalty payment otherwise payable to us by an additional $0.6 million, and in August 2023 we remitted the remaining consideration of $0.9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Discontinued Operations” to the consolidated financial statements included in this 2025 10-K Report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license agreements with strategic partners to commercialize IMVEXXY and BIJUVA outside of the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June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of the Mayne Transaction, we repaid all obligations under the Financing Agreement, dated as of April 24, 2019, as amended, with Sixth Street Specialty Lending, Inc., as administrative agent, the various lenders from time-to-time party thereto, and certain of our subsidiaries party thereto from time to time as guarantors (the “Financing Agreement”) and the Financing Agreement was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capital to provide additional liquidity to fund our operations.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at a purchase price of the five-day volume-weighted average price of the Common Stock at the time of the sale of such shares of Common Stock, at an aggregate purchase price of up to $5,000,000. On June 29, 2023, we issued and sold 312,525 shares of Common Stock at a price per share equal to $3.6797 pursuant to the Subscription Agreement. We received gross proceeds of $1.15 million from the draw-down, before expenses. On November 15, 2023, Rubric drew an additional 877,192 shares of Common Stock at a price per share equal to $2.2761. We received gross proceeds of $2.0 million from the draw-down before expenses. There were no drawdowns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a lawsuit against Mayne Pharma in the United States District Court for the District of Delaware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a lawsuit against us in the United States District Court for the District of Delaware (the “Mayne Countersuit” and, together with the Mayne Lawsuit, the “Mayne Lawsuits”)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if the net working capital settlement with Mayne Pharma under the Transaction Agreement is greater than our current estimates, if the outcome of the Mayne Lawsuits is worse than we anticipate,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included in this 2025 10-K Report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of our royalty-bearing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assigned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IMVEXXY (estradiol vaginal inserts), 4-μg and 10-μg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for the treatment of moderate-to-severe dyspareunia (vaginal pain associated with sexual activity), a symptom of vulvar and vaginal atrophy due to menopause. As part of the FDA’s approval of IMVEXXY, we committed to conduct a post-approval observational study to evaluate the risk of endometrial cancer in post-menopausal women with a uterus who use a low-dose vaginal estrogen unopposed by a progestogen.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BIJUVA (estradiol and progesterone) capsules, 1 mg/100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ANNOVERA (segesterone acetate (“SA”) and ethinyl estradiol (“EE”) vaginal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a one-year ring-shaped contraceptive vaginal system (“CVS”) and the first and only patient-controlled, procedure-free, reversible prescription contraceptive that can prevent pregnancy for up to a total of 13 cycles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assigned our exclusive license to commercialize ANNOVERA in the United States and its possessions and territories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Prenatal vitamin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concentration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is dependent on third parties achieving specified milestones and product sales. For information on the concentration of licenses of our products, see “Note 9. Revenue” to the consolidated financial statements included in this 2025 10-K Report. Currently, the Company collects license revenue from three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markets in which we license our products are not subject to seasonal sales fluctuations. However, our license revenues for the first quarter of each year can be negatively affected by the annual reset of high-deductible commercial insurance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of our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30, 2022, we were no longer responsible for any manufacturing and have no manufacturing contracts. All manufacturing responsibility of our licensed and assigned products has been transferred to our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30, 2022, we no longer conduct any research and development activities. Historically, our product development programs were concentrated in advanced hormone therapy pharmaceutical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obtain patents, maintain trade-secret protection, and operate without infringing the proprietary rights of others. Our intellectual property portfolio is one way we attempt to protect our competitive position. We rely primarily on a combination of know-how, trade secrets, patents, trademarks, and contractual restrictions to protect our products and to maintain our competitive position. We are diligently seeking ways to protect our intellectual property through various legal mechanisms in relevant jurisdictions. Where permitted, patents for our hormone therapy drug products have been submitted to the FDA’s Approved Drug Products with Therapeutic Equivalence Evaluations (commonly known as the Orange Book).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have many domestic and foreign patents that cover our licensed products, including many for each of BIJUVA and IMVEXXY that are Orange Book listed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multiple U.S. trademark registrations and have numerous pending trademark applications. Issuance of a federally registered trademark creates a rebuttable presumption of ownership of the mark; however, it is subject to challenge by others claiming first use in the mark in some or all the areas in which it is used. Federally registered trademarks have a perpetual life so long as they are maintained and renewed on a timely basis and used properly as trademarks, subject to the rights of third parties to seek cancellation of the trademarks if they claim priority or confusion of usage. We believe our patents and trademarks are valuable and provide us certain benefits in marketing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actively protect our intellectual property with patents, trademarks, trade secrets, or other legal avenues for the protection of intellectual property and to aggressively prosecute, enforce, and defend our patents, trademarks, and proprietary technology, including those licensed by Mayne Pharma, Knight and Theramex, with our licensees to the extent permitted under their respective license agreements. The loss, by expiration or otherwise, of any one patent may have a material effect on our business. Defense and enforcement of our intellectual property rights can be expensive and time consuming, even if the outcome is favorable to us. It is possible that the patents issued or licensed to us will be successfully challenged, that a court may find that we are infringing on validly issued patents of third parties, or that we may have to alter or discontinue the development of our products or pay licensing fees to account for patent rights of third parties. See “– Pharmaceutical Regulation – Regulatory Exclusivity” below for information regarding our intellectual property and challenges to that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seek broad coverage under our patent applications, there is always a risk that an alteration to the process may provide sufficient basis for a competitor to avoid infringement claims. In addition, patents expire, and we cannot provide any assurance that any patents will be issued from our pending application or that any potentially issued patents will adequately protect our intellectual property.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licensed US patents and trademarks for our commercial products. Under the terms of the Mayne License Agreement, Mayne Pharma exclusively took over prosecution of our US patent and trademark portfolio and enforcement of our licensed patents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FDA regulates pharmaceuticals, biologics, medical devices, dietary supplements, and cosmetics under the Federal Food, Drug, and Cosmetic Act (“FDCA”) and its implementing regulations. Although we are not currently engaged in research, development, manufacturing, or commercial distribution activities, the products from which we derive royalties are also subject to other federal, state, and local statutes and regulations, including federal and state consumer protection laws, laws regarding pricing transparency, laws requiring the implementation of compliance programs, laws requiring the reporting of payments or other transfers of value to HCPs or other healthcare professionals, laws governing the financial relationships between manufacturers and HCPs or other referral sources and industry stakeholders, laws protecting the privacy of health-related information, laws restricting items and services of value provided to patients, and laws prohibiting unfair and deceptive acts and trade practices. See also “Item 1A. Risk Factors – Risks related to our business” for a discussion, among other things, of the extensive and costly governmental regulation we are subject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Pharmaceutical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required by the FDA before a new drug product may be marketed in the U.S. generally involves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completion of or reference to extensive preclinical laboratory tests and preclinical animal studies, all performed in accordance with the FDA’s Good Laboratory Practice, or GLP,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the FDA of an investigational new drug (“IND”) application under which the holder may begin conducting human clinical trials, provided that the FDA does not object; the IND must be updated annually;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of adequate and well-controlled human clinical trials to establish the safety and efficacy of the drug candidate for each proposed indication; and</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05"/>
        <w:gridCol w:w="200"/>
        <w:gridCol w:w="8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submission to the FDA of a new drug application (“NDA”) after completion of all pivotal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 application is a request for authorization from the FDA to administer an investigational drug product to humans.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as the holder of the approved NDAs for our licensed products, is required to comply with several post-approval requirements for our currently approved drug products. We no longer have responsibility for any post-approval requirements, although regulatory actions affecting these products could materially affect our royalty revenues. As the holder of an approved NDA, Mayne Pharma is required to report, among other things, certain adverse reactions and production problems to the FDA, to provide updated safety and efficacy information, to adhere to product sampling and distribution requirements, fulfill post-marketing study commitments, and to comply with requirements concerning advertising and promotional labeling for any of our drug products, which include, among other things, standards for direct-to-consumer advertising, restrictions that prohibit promoting products for certain uses or in patient populations that are not described in the product’s approved indications or that are not otherwise consistent with the approved, FDA-required label (known as “off-label use”), limitations on industry-sponsored scientific and educational activities,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quality control and manufacturing procedures must continue to conform to cGMPs to ensure and preserve the long-term stability of the drug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depending on the nature and scope of their activities, subject to FDA and certain state agency requirements relating to establishing and maintaining product quality.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production and quality control to maintain compliance with cGMP and other aspects of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rely, and expect to continue to rely, on third parties to produce commercial quantities of our licensed drugs. Future FDA and state inspections may identify compliance issues at the facilities of the manufacturers of our licensed products that may disrupt production or distribution or require substantial resources to correct. In addition, discovery of previously unknown problems (for example, through adverse events observed in the post-marketing context, or in Phase 4/post-marketing studies) with a product or the failure to comply with applicable requirements may result in restrictions on a product, manufacturer, or holder of an approved NDA, including withdrawal or recall of the product from the market or other voluntary, FDA-initiated or judicial action that could delay or prohibit further marketing.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two types of NDAs available under Section 505(b) of the FDCA. Section 505(b)(1) of the FDCA provides a marketing approval pathway that is known as the “traditional” or “full” NDA process. Sponsors use 505(b)(1) applications to obtain marketing approval of a new drug with active ingredients that have not previously been approved by FDA. The data package necessary for approval of this new drug requires demonstration of safety and efficacy based on adequate and well controlled human clinical trials conducted by or for the sponsor, without allowance for reference to third party data. In contrast, Section 505(b)(2) of the FDCA provides an alternative NDA process for approving a new drug that contains the same active ingredient as a previously approved product but allows sponsors to rely on clinical trials not conducted by or for the sponsor, as well as other clinical data or literature produced by other parties. In addition, Section 505(j) of the FDCA provides for a significantly shortened regulatory pathway for approval of a “generic” version of a new drug, by way of an Abbreviated New Drug Application (“ANDA”). Rather than demonstrating safety and effectiveness as required for an NDA, the ANDA requires proof that the generic drug is the “same” as or “bioequivalent” to the new drug under the standard of “bioequivalence,” often using pharmacokinetic, pharmacodynamic, and/or in vitro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Section 505(b) NDA applicant may be eligible for its own regulatory exclusivity period, such as a five-year or three-year exclusivity. The first approved Section 505(b) NDA applicant for a drug containing an active ingredient that has not previously been approved in any other 505(b) NDA (a “new chemical entity,” or “NCE”), is eligible for a five-year NCE exclusivity period starting on the date of the NDA approval. An ANDA or 505(b)(2) application for a drug containing the protected active ingredient of the NCE product generally cannot be submitted to FDA until the end of the five-year exclusivity period, except that such applications can be submitted at year four if the product is covered by an Orange Book listed patent and the ANDA or 505(b)(2) NDA includes a Paragraph IV Certification challenging such patent. Additional exclusivities may also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approved Section 505(b) NDA applicant for a particular condition, or a supplemental NDA approval for a change to a marketed product, such as a new extended-release formulation for a previously approved product, may be eligible for a three-year Hatch-Waxman exclusivity if one or more new clinical studies, other than bioavailability or bioequivalence studies, was essential to the approval of the application and was conducted or sponsored by the applicant. Should this occur, the FDA would be precluded from granting final approval to any ANDA or 505(b)(2) application for the same condition of use or change to the marketed product that was granted exclusivity until after that three-year exclusivity period has run.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any ANDA or 505(b)(2) NDA that references the 505(b) product must include one of several types of patent certifications. If the Section 505(b) NDA drug has one or more unexpired patents listed in the Orange Book, an ANDA or 505(b)(2) NDA must include either a “Paragraph III Certification” or a “Paragraph IV Certification.” A Paragraph III Certification identifies the expiration date of the listed patent and requires FDA to withhold final approval until that patent has expired. A “Paragraph IV Certification” states that, in the applicant’s opinion, the relevant patent is invalid, unenforceable, or would not be infringed by the commercial marketing of the proposed ANDA or 505(b)(2) NDA product. The sponsor of a Paragraph IV ANDA or 505(b)(2) NDA must also provide the holder of the marketed product NDA, and the owner of the challenged patent, with notification of the Paragraph IV filing along with a detailed statement of the reasons the applicant believes the patent is invalid, unenforceable, or would not be infringed. If the patent owner brings an infringement action against the Paragraph IV applicant within 45 days of the notification, a statutory stay is imposed which prevents FDA from granting final approval of the Paragraph IV application for 30 months from the date of the Paragraph IV Notification. Generally, no more than one 30-month stay may be applied against any specific Paragraph IV ANDA or 505(b)(2) NDA. A 30-month stay can be terminated early, and the Paragraph IV application can be immediately approved, if the district court rules in favor of the Paragraph IV applicant that the patent is invalid, unenforceable, or would not be infringed.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ANDA submitted to FDA by Teva Pharmaceuticals USA, Inc. (“Teva”). See “Legal Proceedings” in Item 3 of this 2025 10-K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we received a Paragraph IV certification notice letter (the “BIJUVA Notice Letter”) regarding an ANDA submitted to FDA by Amneal Pharmaceuticals (“Amneal”). In April 2020, we filed a complaint for patent infringement against Amneal in the U.S. District Court for the District of New Jersey arising from Amneal’s ANDA filing with FDA. In December 2021, we entered into a settlement agreement (the “Settlement Agreement”) with Amneal Pharmaceuticals, Inc., Amneal Pharmaceuticals, LLC and Amneal Pharmaceuticals of New York LLC (collectively “Amneal”) to resolve the litigation over our patents listed in FDA’s Orange Book that claim compositions and methods of BIJUVA (the “BIJUVA Patents”). Under the terms of the Settlement Agreement, the Company granted Amneal a non-exclusive, non-transferable, royalty-free license to commercialize Amneal’s generic formulation of BIJUVA in the U.S. commencing in May 2032 (180 days before the current expiration date in November 2032 for the last to expire of our BIJUVA Patents), or earlier under certain circumstances customary for settlement agreements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U.S. healthcare laws and compliance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federal and state healthcare laws and regulations pertaining to fraud and abuse and patients’ rights, among other topics, are and will be applicable to our business. Our licensees and the licensed products are subject to regulation by both the federal government and the states in which we or our partners conduct our business. The healthcare laws and regulations that may affect our licensees’ ability to operate and our ability to receive licensing revenues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federal Anti-Kickback Statute, which prohibits, among other things, any person or entity from knowingly and willfully offering, soliciting, receiving or providing any remuneration (including any kickback, bribe or rebate), directly or indirectly, overtly or covertly, in cash or in kind, to induce either the referral of an individual or in return for the purchase, lease, or order of, or the arranging for, any good, facility item or service, for which payment may be made, in whole or in part, under federal healthcare programs such as the Medicare and Medicaid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civil and criminal false claims laws and civil monetary penalty laws, including, for example, the federal civil False Claims Act, which impose criminal and civil penalties, including civil whistleblower or qui tam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and their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pPr>
            <w:r>
              <w:rPr/>
              <w:t>the federal physician sunshine requirements under the Patient Protection and Affordable Care Act (“ACA”), which require certain manufacturers of drugs, devices, biologics and medical supplies for which payment is available under Medicare or Medicaid to report annually to the Centers for Medicare &amp; Medicaid Services information related to payments and other transfers of value provided to physicians and teaching hospitals, and ownership and investment interests held by physicians and their immediate family members. In 2022, the Sunshine Act was extended to payments and transfers of value to physician assistants, nurse practitioners, and other mid-level practitioners (with reporting requirements going into effect in 2022 for payments made in 2021). In addition, Section 6004 of the ACA requires annual reporting of information about drug samples that manufacturers and authorized distributors provide to healthcare providers;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and state laws requiring pricing transparency or limiting price increases, which are in existence today or are anticipated to be in existence in the near future, may limit the ability to raise prices, require disclosure of price increases or require disclosure of the wholesale acquisition cost of pharmaceutical products to governmental agencies and consumers;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law equivalents of each of the above federal laws, such as anti-kickback and false claims laws, which may apply to items or services reimbursed by any third-party payer, including commercial insurers or even self-pay; state laws that require pharmaceutical companies to comply with the pharmaceutical industry’s voluntary compliance guidelines and the applicable compliance guidance promulgated by the federal government, or otherwise restrict payments that may be provided to healthcare providers and other potential referral sources; state laws that require drug manufacturers to report information related to payments and other transfers of value to healthcare providers or marketing expenditures; state laws requiring a license, registration or permit to engage in manufacturing and distribution of prescription products or to engage in the practice of pharmacy; and state laws governing the privacy and security of health information in certain circumstances, many of which differ from each other in significant ways and may not have the same effect, thus complicating compliance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company interactions with HCPs, patient advocacy groups, and patients, including with respect to product and patient assistance programs and other education and support initiatives, have been and continue to be, the subject of regulatory scrutiny for compliance with fraud and abuse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breadth of these laws and the narrowness of the statutory exceptions and safe harbors available, it is possible that some of the business activities of the entities with whom we do business could be subject to challenge under one or more of such laws. Efforts to ensure that our business arrangements with third parties comply with applicable healthcare laws and regulations could be costly. Although we no longer engage in commercial promotional activities, if our past operations, including activities conducted by our sales team or agents, are found to be in violation of any of these laws or any other governmental regulations that may apply to us, we may be subject to significant civil, criminal, and administrative penalties, damages, fines, exclusion from third-party payer programs, such as Medicare and Medicaid, and the curtailment or restructuring of our operations. If any of the HCPs, providers, or entities with whom we do business are found to not be in compliance with applicable laws, they may be subject to criminal, civil, or administrative sanctions, including exclusion from government funded healthcare programs.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aspects of these laws have not been definitively interpreted by the regulatory authorities or the courts, and their provisions are open to a variety of subjective interpretations that increases the risk of potential violations. In addition, these laws and their interpretations are subject to change. Any action against us for violation of these laws, even if we successfully defend against it, could cause us to incur significant legal expenses, divert our management’s attention from the operation of our business, and damage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fraud and abuse laws, we continue to monitor the potential impact of proposals to change prescription drug costs at the federal and state level.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U.S. directed at broadening the availability of healthcare and containing or lowering the cost of healthcare.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in the future, our licensees and the licensed products may become subject to additional laws or regulations administered by the FDA, the FTC, U.S. Department of Health and Human Services (“HHS”), or by other federal, state, local, or foreign regulatory authorities, or the repeal of laws or regulations that we generally consider favorable, such as DSHEA, or to more stringent interpretations of current laws or regulations. We are not able to predict the nature of such future laws, regulations, repeals, or interpretations, and we cannot predict what effect additional governmental regulation, if and when it occurs, would have on our business in the future. 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we maintain our principal executive offices at 951 Yamato Road, Suite 220, Boca Raton, Florida 33431. Our telephone number is (561) 961-1900. We maintain a corporate website at www.therapeuticsmd.com. The information contained on our website or that can be accessed through our website is not incorporated by reference into this 2025 10-K Report or in any other report or document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stock involves a high degree of risk. You should carefully consider the following risk factors, together with all of the information included in this 2025 10-K Report and our other filings with the SEC, before you decide to purchase shares of our common stock. We believe the risks and uncertainties described below are the most significant we face.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and uncertainties. The following is a summary of the principal risk factors described in this section: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currently derive all of our revenues from royalties related to sales of our products, and the failure of our licensees to maintain or increase sales of these products could have an adverse effect on our business, financial condition, results of operations, and growth prospects.</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in the past and may not be able to maintain or increase profitability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substantial doubt about 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dependence upon third parties for the manufacture and supply of our women’s healthcare products may cause delays in, or prevent our licensees from, successfully commercializing and marketing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commercial success of our products will depend upon gaining and retaining significant market acceptance of these products among physicians and payers.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Coverage and reimbursement may not be available for our products, which could make it difficult for our licensees to sell our products profitably.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revenue, results of operations and financial position could be affected by our ongoing disputes with Mayne Pharma.</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and costs associated with winding down our general and administrative, commercial, and research and development activities may be significant.</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could be affected by transitions in our senior management team.</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sublease our properties, which could expose us to possible liabilities and losses.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Licensing of intellectual property involves complex legal, business and scientific issues, and disputes could jeopardize our rights under such agreements.</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products and our licensees are subject to extensive government regulation.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rely on Mayne Pharma to prosecute, file lawsuits, or take other actions to protect or enforce our intellectual property, and Mayne Pharma may not take such actions or be successful.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efforts to protect the proprietary nature of the intellectual property covering our hormone therapy pharmaceutical products and other products are not adequate, our licensees may not be able to compete effectively in the market, which would adversely affect our royalties.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products face significant competition from branded and generic products, and our operating results will suffer if our products fail to compete effectively.</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05"/>
        <w:gridCol w:w="200"/>
        <w:gridCol w:w="5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success is tied to the distribution channels of our licensees.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failure of our licensees to adequately maintain a sales force or effectively implement sales strategies will impede our growth.</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5"/>
        <w:gridCol w:w="200"/>
        <w:gridCol w:w="6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future success depends on our ability to attract and retain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failure to maintain compliance with Nasdaq’s continued listing requirements could result in the delisting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derive all revenue from royalties related to sales of our licensed women’s healthcare products, and the failure of our licensees to maintain or increase sales of these products could have an adverse effect on our business, financial condition, results of operations,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Mayne Transaction, we derive all revenue from royalties related to sales of our women’s healthcare products, including patient-controlled, long-acting contraceptive, hormone therapy pharmaceutical products, prenatal and women’s multi-vitamins, and iron supplements. We cannot assure you that our licensees will be able to sustain such sales or that such sales will grow. In addition to other risks described herein, the ability of our licensees to maintain or increase existing product sales is subject to several risks and uncertainties, including the following:</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105"/>
        <w:gridCol w:w="200"/>
        <w:gridCol w:w="8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presence of new or existing competing products, including non-authorized generic copies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105"/>
        <w:gridCol w:w="200"/>
        <w:gridCol w:w="7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supply or distribution problems arising with any of their manufacturing and distribution partners;</w:t>
            </w:r>
          </w:p>
        </w:tc>
      </w:tr>
    </w:tbl>
    <w:p>
      <w:pPr>
        <w:pStyle w:val="TextBody"/>
        <w:bidi w:val="0"/>
        <w:spacing w:before="0" w:after="0"/>
        <w:ind w:left="0" w:right="0" w:hanging="0"/>
        <w:jc w:val="left"/>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105"/>
        <w:gridCol w:w="200"/>
        <w:gridCol w:w="63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changed or increased regulatory restrictions or regulatory actions by the FDA;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healthcare laws and policy, including changes in requirements for drug pricing, rebates, reimbursement, and coverage by federal healthcare programs and commercial payers;</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05"/>
        <w:gridCol w:w="200"/>
        <w:gridCol w:w="71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or efficacy of any price increases our licensees may implement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to the licensed products’ labels and labeling, including new safety warnings or changes to boxed warnings, that further restrict how our licensees’ market and sell our products; and</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105"/>
        <w:gridCol w:w="200"/>
        <w:gridCol w:w="6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our products as safe and effective by physicians and patients.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revenue from royalties related to sales of our products does not increase, we may be required to seek to raise additional funds, which could have an adverse effect on our business, financial condition, results of operations, and growth prospects. In addition, our revenue from royalties is based on information compiled by, and received from, our licensees. If the sales information provided by our licensees is erroneous, it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net losses in the past and may not be able to maintain or increase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incurred recurring net losses, including net losses of $569 thousand and $2.2 million for 2025 and 2024, respectively. In 2022, we recognized net income of $112.0 million due to the net proceeds from the Mayne Transaction and divestiture of our former subsidiary vitaCare Prescription Services, Inc. (“vitaCare”) exceeding our costs and expenses. We utilized most of the net proceeds to repay borrowings and redeem our preferred stock. As of December 31, 2025, our stockholders’ equity was $26.9 million. We have funded our operations to date primarily through revenue from licensed royalties, public offerings of our common stock and private placements of equity and debt securities and the transactions with Mayne Pharma. We may incur substantial additional losses over the next few years because of costs associated with the wind down of our historical business as well as the ongoing costs of being a public company.  As a result, we may not maintain or increase profitability. If we continue to incur substantial losses, because the royalties of our products are insufficient or otherwise, and are unable to secure additional financing, we could be forced to discontinue or curtail our business operations,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our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liquidity position raises substantial doubt about our ability to continue as a going concern and Carr, Riggs &amp; Ingram, L.L.C, our independent registered public accounting firm for the fiscal year ended December 31, 2025, has included an explanatory paragraph in their opinion that accompanies our audited consolidated financial statements as of and for the year ended December 31, 2025, indicating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$7.5 million in cash and cash equivalents. Our ability to fund operations over the next twelve months is dependent upon, among other things, continued receipt of royalty payments under the Mayne License Agreement, resolution of the Mayne Lawsuits on terms that do not materially adversely affect our liquidity, and our ability to minimize operating expenses. An adverse outcome in the Mayne Lawsuits could result in significant damages, indemnification obligations, offsets against future royalty payments, or other relief that could materially reduce our available cash and expected future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IMVEXXY, BIJUVA, or ANNOVERA grow more slowly than expected or decline, if the net working capital settlement with Mayne Pharma under the Transaction Agreement is greater than our current estimates, if we are unsuccessful with future financings or if the supply chains related to the third-party contract manufacturers are worse than we anticipate, our existing cash reserves may be insufficient to satisfy our liquidity requirements. Our ability to continue as a going concern may depend on our ability to obtain additional capital. As substantial doubt about our ability to continue as a going concern exists, our ability to finance our operations through the sale and issuance of debt or equity securities or through bank or other financing could be impaired. Our ability to obtain financing on reasonable terms is subject to factors beyond the Company’s control, including general economic, political, and financial market conditions. The capital markets have in the past experienced, are currently experiencing, and may in the future experience, periods of upheaval that could impact the availability and cost of equity and debt financing and such financing may not be available on terms commercially acceptable to the Company, or at all. If we are unable to improve our liquidity position, we may be required to significantly reduce operating expenses, seek additional equity or debt financing that may be materially dilutive, sell assets, enter into strategic transactions or pursue other alternatives, any of which may be unfavorable to our stockholders. If we are unable to implement such measures, we may not be 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significant turnover in our top executives, and our business could be adversely affected by these and other transitions in our senior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turnover in our top executives and the replacement of these positions with new officers. In December 2022, following the Mayne Transaction, all our top executives, except for our former General Counsel, were terminated, and our former General Counsel was appointed as Chief Executive Officer. In August 2023, our former Principal Financial and Accounting Officer resigned and was replaced with a new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transition is often difficult and inherently causes some loss of institutional knowledge, which could negatively affect the results of operations and financial condition. Our ability to execute our business strategies may be adversely affected by the uncertainty associated with these transitions and the time and attention of the board and management dedicated to management transitions could disrupt our business. Further, we cannot guarantee that we will not face similar turnover in the future. Although we generally enter into employment agreements with our executives, our executive officers may terminate their employment relationship with us at any time, and we may not be able to retain the services of any of them. Our senior management’s knowledge of our business and industry could be difficult to replace, and management turnover could negatively affect our business, growth, financial conditions,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depend on the services of Marlan D. Walker as our Chief Executive Officer and sole employee. Should we lose Mr. Walker due to death, disability, retirement or otherwise, such loss could adversely affect our business, management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Walker is presently our sole employee and we are therefore dependent upon Mr. Walker, who works for us as an at will employee. Mr. Walker may terminate his employment with us at any time and we cannot guarantee that we would be able to hire a similarly qualified executive if he should choose to leave. We do not currently maintain key person life insurance on Mr. Walker. Any change in Mr. Walker’s involvement with our Company may negatively affect our business, management and operations. The loss of his services could be detrimental to the business and could force us to no longer operate. Our future success could depend in part on our ability to retain Mr. Walker.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upon third parties for the manufacture and supply of our existing women’s healthcare products may cause delays in or prevent our licensees from successfully commercializing and marketing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have, nor do we currently plan to build or acquire, the infrastructure or capability to internally manufacture our existing women’s healthcare products, IMVEXXY, BIJUVA, and ANNOVERA. We have relied, and will continue to rely, on third parties to manufacture these products in accordance with specifications and in compliance with applicable regulatory requirements, including the FDA’s current Good Manufacturing Practice (“cGMPs”). We entered into long-term supply agreements with Catalent Pharma Solutions, LLC for the commercial supply of IMVEXXY and BIJUVA which have been assigned to Mayne Pharma. We also entered into a long-term supply contract with QPharma AB, now known as Sever Pharma Solutions, for ANNOVERA, which contract was also assigned to Mayne Pharma. We depended on Lang, a full-service, private label and corporate brand manufacturer, to supply our vitaMedMD and BocaGreen products. We do not have long-term contracts for the commercial supply of our vitaMedMD and BocaGreen products. We believe that our licensees evolved these relationships based on the products they licensed from us. We continue to provide support for the third-party manufacturers and our licensees as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requirements could pose barriers to the manufacture of our women’s healthcare products. All of our existing products are manufactured by third-party contract manufacturing organizations (“CMOs”). These CMOs are required to manufacture our products in compliance with the applicable regulatory requirements. The CMO that manufactures IMVEXXY and BIJUVA has previously been inspected by the FDA and received Form 483 observations with respect to its softgel manufacturing plant that is used for the manufacture of the commercial supply of IMVEXXY and BIJUVA. The CMO that manufactures ANNOVERA has previously been inspected by the FDA and received Form 483 observations with respect to its facility that is used for the commercial supply of ANNOVERA. We believe that corrective actions to address the compliance issues identified in the referenced Forms 483 have been implemented by the CMOs and that the CMOs continue to have the right to manufacture under current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manufacturers of our products cannot successfully manufacture material that conforms to specifications and the strict regulatory requirements of the FDA and any applicable foreign regulatory authority, regulatory submissions related to our products may be delayed or disapproved, and our marketed products may be affected. If these facilities are not in compliance for the manufacture of our products, our licensees may need to find alternative manufacturing facilities, which would result in substantial disruptions of sales of our products. In addition, manufacturers of our products will be subject to ongoing periodic unannounced inspections by the FDA and corresponding state and foreign agencies for compliance with cGMPs and similar regulatory requirements. Failure by any of the manufacturers of our products to comply with applicable cGMP regulations or other applicable requirements could result in sanctions being imposed on us or our licensees, including fines, injunctions, civil penalties, violation letters, delays, suspensions or withdrawals of approvals, operating restrictions, interruptions in supply, recalls, withdrawals, issuance of safety alerts, and criminal prosecutions, any of which could have an adverse impact on our business, financial condition, results of operations, and prospects. Our licensees may seek to enter into long-term agreements with alternative manufacturers on commercially reasonable terms, and if they do enter into agreements with alternative manufacturers, those alternative manufacturers may not be approved by the FDA or subsequently lose FDA approval to manufacture our drugs, any of which could have an adverse impact on our business. We also could experience manufacturing delays if our CMOs give greater priority to the supply of other products over our products to the delay or other detriment of our products, or otherwise do not satisfactorily perform according to the terms of their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in the past experienced a greater than expected amount of raw materials for ANNOVERA being out of specification. If any of the third-party CMOs of our products or any suppliers of raw materials or API experience further difficulties, do not comply with the terms of their agreements, or do not devote sufficient time, energy, and care to providing our manufacturing needs, or if any manufacturing specification modifications that we or Mayne Pharma have requested are not approved by the FDA, we could experience additional interruptions in the supply of our products, which may have a material adverse impact on our revenue,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may not have long-term contracts for the supply of all the API used in BIJUVA, and ANNOVERA. If any supplier of the API or other products used in our products experiences any significant difficulties in its respective manufacturing processes, chooses to cease supplying, or does not devote sufficient time, energy, and care to providing our manufacturing needs, we could experience significant interruptions in the supply of our products, which could impair our licensee’s ability to supply our products at the levels required for commercialization and prevent or delay their successful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commercial success of our existing products will depend upon gaining and retaining significant market acceptance of these products among physicians and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Physicians may not prescribe our products, which would prevent us from generating revenue or becoming profitable. Market acceptance of our products, including our hormone therapy pharmaceutical products and patient-controlled, long-acting contraceptive, by physicians, patients, and payers, will depend on a number of factors, many of which are beyond our control,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clinical indications for which our hormone therapy pharmaceutical products and patient-controlled, long-acting contraceptive are approved;</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by physicians and payers of each product as a safe and effective treatment;</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105"/>
        <w:gridCol w:w="200"/>
        <w:gridCol w:w="9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 of treatment in relation to alternative treatments, including numerous generic pharmaceutical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relative convenience and ease of administration of our products in the treatment of the symptoms for which they are intended;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availability and efficacy of competitive drugs and devices;</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effectiveness of our licensee’s sales force and marketing efforts;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extent to which the product is approved for inclusion on formularies of hospitals and managed care organizations, including any access barriers such as prior authorizations and step-edits;</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availability of coverage and adequate reimbursement by third parties, such as insurance companies and other healthcare payers, or by government healthcare programs, including Medicare and Medicaid;</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or warnings contained in a product’s FDA-approved labeling; and</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05"/>
        <w:gridCol w:w="200"/>
        <w:gridCol w:w="38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prevalence and severity of adverse side effects.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medical community accepts that our products are safe and effective for their approved indications, physicians may not immediately be receptive to their use or may be slow to adopt our products as an accepted treatment for the symptoms for which they are intended. Labeling approved by the FDA may not permit our licensees to promote our products as being superior to competing products, because the FDA applies a heightened level of scrutiny to comparative claims when applying its statutory standards for advertising and promotion, including with regard to its requirements for supporting data and that promotional labeling be truthful and not misleading, and there is potential for differing interpretations of whether certain communications are consistent with a product’s FDA-required labeling. If our products do not achieve an adequate level of acceptance by physicians and payers, we may not generate sufficient or any revenue from royalties related to sales of these products. In addition, the efforts of our licensees to educate the medical community and third-party payers on the benefits of our products may require significant resources and may never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reimbursement may not be available for our products, which could make it difficult for our licensees to sell our products profitably.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and sales of our products, including IMVEXXY, BIJUVA, and ANNOVERA, and our prescription vitamins, will depend on coverage and reimbursement policies and may be affected by healthcare reform measures. Government healthcare programs and third-party payers decide which prescription pharmaceutical products they will pay for and establish reimbursement levels. Payers generally do not cover OTC products, and coverage for prescription vitamins and dietary supplements varies. Many private third-party payers, such as managed care plans, manage access to pharmaceutical products’ coverage partly to control costs to their plans, and may use drug formularies and medical policies to limit their exposure. Factors considered by these payers include product efficacy, cost effectiveness, and safety, as well as the availability of other treatments including generic prescription drugs. The ability to commercialize IMVEXXY, BIJUVA, and ANNOVERA successfully depends on coverage and reimbursement levels set by government healthcare programs and third-party private payers. Obtaining and maintaining favorable reimbursement can be a time-consuming and expensive process, and our licensees may not be able to negotiate or continue to negotiate reimbursement or pricing terms for our products with payers at levels that are profitable to them,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the U.S. and some foreign jurisdictions, there have been several legislative and regulatory proposals to change the healthcare system in ways that could affect our licensees’ ability to sell our products profitably. 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(“ASP”), which is used to determine the Medicare Part B payment rate for the drug. The federal government sets general guidelines for Medicaid and requires rebates on outpatient drugs. Each state creates specific regulations that govern its individual program, including supplemental rebate programs that prioritize coverage for drugs on the state Preferred Drug List. In the United States, private health insurers and other third-party payers often provide reimbursement for products and services based on the level at which the government provides reimbursement through the Medicare or Medicaid programs for such products and services. In addition, government programs like Medicaid include substantial penalties for increasing commercial prices over the rate of inflation which can affect realization and return on investment. The cost of pharmaceuticals continues to generate substantial governmental and third-party payer interest and states have begun to take action to increase transparency in drug pricing through mandatory reporting requirements. The pharmaceutical industry and our licensees may experience pricing pressures in connection with the sale of our products generally due to the trend toward managed healthcare, the increasing influence of health maintenance organizations, the scrutiny of pharmaceutical pricing, the ongoing debates on reducing government spending and additional legislative proposals. We cannot predict whether new proposals will be made or adopted, when they may be adopted, or what impact they may have on us if they are adopted. Our results of operations could be adversely affected by current and future healthcare reforms. While we cannot predict whether any proposed cost-containment measures will be adopted or otherwise implemented in the future, any such cost-reduction initiatives could decrease the coverage and price that our licensees receive for our products from Medicare, if any, including IMVEXXY, BIJUVA, and ANNOVERA, and could significantly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licensees to commercialize ANNOVERA depends on coverage and reimbursement levels set by government healthcare programs and third-party private payers. Despite our licensees’ coverage with commercial payers, there is no guarantee that our licensees will be able to retain ours or their agreements or obtain new agreements, or that they will be able to negotiate favorable reimbursement or pricing terms for our products in the future. Healthcare reform implementation, additional legislation or regulations, and other changes in government policy or regulation may affect our licensees’ reimbursement or impose additional coverage limitations and/or cost-sharing obligations on patients, any of which could have an adverse effect on coverage and reimbursement of our products, and our business, financial condition, results of operations, and prospects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generic products at lower prices than branded products may substantially reduce the likelihood of reimbursement for branded products, such as IMVEXXY, BIJUVA, and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licensees fail to successfully secure and maintain adequate coverage and reimbursement for our products or are significantly delayed in doing so, they could have difficulty achieving market acceptance of our products and our business, financial condition, results of operations, and prospects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results of operations and financial position could be affected by our ongoing disputes with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Mayne Pharma are disputing the allowance calculation for payer rebates and wholesale distributor fees pursuant to the Mayne Transaction Agreement. In February 2024, Mayne Pharma provided us with calculations that significantly differed from our estimates. In August 2024 and February 2025, Mayne Pharma provided additional information relating to the net working capital allowance for returns that we believe also differs significantly from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implied covenant of good faith and fair dealing, fraudulent inducement and unjust enrichment. On May 30, 2025, Mayne Pharma filed the Mayne Countersuit against us, seeking damages for breach of contract, fraudulent inducement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resolve this matter, but the outcome of the Mayne Lawsuits is uncertain. If the court determines that amounts are owed to Mayne Pharma in excess of our estimates, or if Mayne Pharma is permitted to offset any alleged obligations against royalties otherwise payable to us, our revenue, results of operations and financial condition could be materially adversely affected. In addition, the Mayne Lawsuits may damage our relationship with Mayne Pharma, which could further impair our ability to enforce our contractual rights and cooperate in the ongoing operation of the Mayne License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global economic conditions could harm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harmed by general conditions in the global economy and in the global financial markets. A severe or prolonged economic downturn, including the impact of increased interest rates, the imposition of tariffs and inflation, could result in a variety of risks to our business, including our ability to raise additional capital when needed on acceptable terms, if at all. For example, the current U.S. administration has taken action, and may take action in the future, with respect to major changes to trade policies, such as the imposition of tariffs on imported products and the withdrawal from or renegotiation of certain trade agreements. New or increased tariffs or other material changes in trade policies could increase costs in the pharmaceutical supply chain, including costs incurred by our licensees in manufacturing or distributing our licensed products. Any such increased costs or supply disruptions could adversely affect sales of our licensed products and reduce the royalties we receive. The foregoing could harm our business, and we cannot anticipate all the ways in which unfavorable economic conditions and financial market conditions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sublease our properties, which could expose us to possible liabilities and losses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sublease our former headquarters to third parties. In the event that we are unable to sublease our properties on favorable terms, or at all, or if we are able to sublease our properties but our subtenants fail to make lease payments to us or otherwise default on their obligations to us, we could incur unanticipated payment obligations. Our lease agreements may also expose us to liabilities, such as rent escalations, maintenance obligations, termination rights, or indemnification claims, that may negatively affect our operations and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Licensing of intellectual property involves complex legal, business, and scientific issues, and disputes could jeopardize our rights under such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and may in the future be a party to license agreements of importance to our business and to our products. Disputes have and may continue to arise between us and any of these counterparties regarding intellectual property subject to and each parties’ obligations under such agreements, including:</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105"/>
        <w:gridCol w:w="200"/>
        <w:gridCol w:w="71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scope of rights granted under the agreement and other interpretation-related issues;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 our licensees’ obligations to make milestone, royalty, or other payments under those agreements, or the amount of any such payments;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105"/>
        <w:gridCol w:w="200"/>
        <w:gridCol w:w="68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 our licensees’ obligations to prosecute existing and new patent applications;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105"/>
        <w:gridCol w:w="200"/>
        <w:gridCol w:w="6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or our licensees’ obligations to enforce infringement of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and the extent to which the ANNOVERA technology and processes infringe on intellectual property of the Population Council that is not subject to the ANNOVERA license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ownership of inventions and know-how arising under the agreement or resulting from the joint creation or use of intellectual property by our licensees and us and our partners;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right, or the right of our licensees, to transfer or assign the license; and</w:t>
            </w:r>
          </w:p>
        </w:tc>
      </w:tr>
    </w:tbl>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105"/>
        <w:gridCol w:w="200"/>
        <w:gridCol w:w="2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effects of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or other disputes over our obligations, our licensees’ obligations, or intellectual property that we have licensed may prevent or impair our ability to maintain our current arrangements on acceptable terms, or may impair the value of the arrangement to us. Any such dispute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2018, we entered into the Population Council License Agreement to obtain exclusive U.S. rights to commercialize ANNOVERA. The agreement required us to commercialize this product and enter into certain manufacturing agreements, make timely milestone and other payments, provide certain information regarding our activities under the agreement, and indemnify the other party with respect to our development and commercialization activities under the terms of the agreements. The Company’s license under the Population Council License Agreement was sold to Mayne Pharma as part of the Mayne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 with respect to the ANNOVERA license agreement that we have assigned to Mayne Pharma, fails to meet obligations under that license agreement in a material respect, the Population Council could have the right to terminate the agreement and upon the effective date of such termination, have the right to re-obtain the related technology as well as, potentially, aspects of any intellectual property controlled by Mayne Pharma and developed during the period the agreement was in force that relate to the applicable technology. This means that Population Council could effectively take control of the development and commercialization of ANNOVERA after an uncured, material breach of the agreement by us or Mayne Pharma. Any uncured, material breach under a license agreement could result in our loss of exclusive rights and may lead to a complete termination of any commercialization efforts for the applicable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Mayne Transaction, we granted a license to Mayne Pharma (i) to research, develop, register, manufacture, have manufactured, market, sell, use, and commercialize the Licensed Products in the United States and its possessions and territories and (ii) to manufacture, have manufactured, import and have imported the Licensed Products outside the United States for commercialization in the United States and its possessions and territories. Any disputes arising under the agreements governing the Mayne Transaction may have a material adverse impact on our revenue, results of operations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licensing and supply agreements with Knight pursuant to which we granted Knight an exclusive license to commercialize IMVEXXY and BIJUVA in Canada and with Theramex pursuant to which we granted Theramex an exclusive license to commercialize BIJUVA, and IMVEXXY outside of the U.S., except for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products in the U.S. and our rights to receive royalties with respect to such sales could be adversely affected if products manufactured outside of the U.S. or for sale outside of the U.S. under the terms of these licensing and supply agreements are reimported and sold in the U.S. In addition, our rights to receive royalties with respect to our products sold outside the U.S. could be adversely affected if our licensees fail to diligently pursue approval of our products, or opt not to sell our products, in certain jurisdictions where they are not required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 insured limits.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cash is held in accounts at U.S. banking institutions that we believe are of high quality. Cash held in depository accounts may exceed the $250 thousand Federal Deposit Insurance Corporation (“FDIC”) insurance limits. If such banking institutions were to fail,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and our licensees are subject to extensive and costly 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subject to extensive and rigorous domestic government regulation, including regulation by the FDA, the Centers for Medicare &amp; Medicaid Services (“CMS”), other divisions of the U.S. Department of Health and Human Services, including its Office of Inspector General (“OIG”), the U.S. Department of Justice (“DOJ”), the Departments of Defense and Veterans Affairs, to the extent our products are paid for directly or indirectly by those departments, state and local governments, and their respective foreign equivalents. The FDA regulates dietary supplements, cosmetics, and drugs under different regulatory schemes. For example, the FDA regulates the processing, formulation, safety, manufacturing, packaging, labeling, and distribution of dietary supplements and cosmetics under its dietary supplement and cosmetic authority, respectively. The FDA also regulates the research, development, pre-clinical and clinical testing, manufacture, safety, effectiveness, record keeping, reporting, labeling, storage, approval, advertising, promotion, sale, distribution, import, and export of pharmaceutical products under various regulatory provisions. If any of our products are marketed abroad, they will also be subject to extensive regulation by foreign governments, whether or not we have obtained FDA approval for a given product and its uses. Such foreign regulation may be equally or more demanding than corresponding 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licensees are also subject to additional healthcare regulation and enforcement by the federal government and the states in which we conduct our business. Applicable federal and state healthcare laws and regulations include the following:</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05"/>
        <w:gridCol w:w="200"/>
        <w:gridCol w:w="35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federal Anti-Kickback Statute (“AKS”)</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5"/>
        <w:gridCol w:w="200"/>
        <w:gridCol w:w="37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Civil Monetary Penalties Law (“CMPL”)</w:t>
            </w:r>
          </w:p>
        </w:tc>
      </w:tr>
    </w:tbl>
    <w:p>
      <w:pPr>
        <w:pStyle w:val="TextBody"/>
        <w:bidi w:val="0"/>
        <w:spacing w:before="0" w:after="0"/>
        <w:ind w:left="0" w:right="0" w:firstLine="8"/>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200"/>
        <w:gridCol w:w="6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Health Insurance Portability and Accountability Act of 1996 (“HIPAA”)</w:t>
            </w:r>
          </w:p>
        </w:tc>
      </w:tr>
    </w:tbl>
    <w:p>
      <w:pPr>
        <w:pStyle w:val="TextBody"/>
        <w:bidi w:val="0"/>
        <w:spacing w:before="0" w:after="0"/>
        <w:ind w:left="0" w:right="0" w:firstLine="8"/>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105"/>
        <w:gridCol w:w="200"/>
        <w:gridCol w:w="9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of 2009 (“HITECH”)</w:t>
            </w:r>
          </w:p>
        </w:tc>
      </w:tr>
    </w:tbl>
    <w:p>
      <w:pPr>
        <w:pStyle w:val="TextBody"/>
        <w:bidi w:val="0"/>
        <w:spacing w:before="0" w:after="0"/>
        <w:ind w:left="0" w:right="0" w:firstLine="8"/>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05"/>
        <w:gridCol w:w="200"/>
        <w:gridCol w:w="41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5(a) of the Federal Trade Commission Act</w:t>
            </w:r>
          </w:p>
        </w:tc>
      </w:tr>
    </w:tbl>
    <w:p>
      <w:pPr>
        <w:pStyle w:val="TextBody"/>
        <w:bidi w:val="0"/>
        <w:spacing w:before="0" w:after="0"/>
        <w:ind w:left="0" w:right="0" w:firstLine="8"/>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Physician Payments Sunshine Act</w:t>
            </w:r>
          </w:p>
        </w:tc>
      </w:tr>
    </w:tbl>
    <w:p>
      <w:pPr>
        <w:pStyle w:val="TextBody"/>
        <w:bidi w:val="0"/>
        <w:spacing w:before="0" w:after="0"/>
        <w:ind w:left="0" w:right="0" w:firstLine="8"/>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05"/>
        <w:gridCol w:w="200"/>
        <w:gridCol w:w="3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Analogous state laws and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aspects of these laws have not been definitively interpreted by the regulatory authorities or the courts, and their provisions are open to a variety of subjective interpretations that increases the risk of potential violations. In addition, these laws and their interpretations are subject to change. Many state laws differ from each other in significant ways and often are not preempted by federal laws, thus complicating compliance efforts. Moreover, the number and complexity of both federal and state laws continues to increase, and additional governmental resources are being used to enforce these laws and to prosecute companies and individuals who are believed to be violating them. We anticipate that government scrutiny of pharmaceutical sales and marketing practices will continue for the foreseeable future and subject us to the risk of government investigations and enforcement actions. For example, federal enforcement agencies recently have shown interest in pharmaceutical companies’ product and patient assistance programs, including manufacturer reimbursement support services and relationships with specialty pharmacies. Some of these investigations have resulted in significant civil and criminal settlements.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operations, including our business arrangements with third parties including our licensees, comply with applicable healthcare laws and regulations could be costly. Although effective compliance programs can help mitigate the risk of investigation, regulatory and enforcement actions, and prosecution for violations of these laws, the risks cannot be entirely eliminated. Moreover, achieving and sustaining compliance with applicable federal and state fraud, privacy, security, and reporting laws may prove costly. We cannot guarantee that a government agency will agree with our interpretations, and it is possible that an enforcement authority may find or we may discover that one or more of our business practices may not comply. If our past or present operations, including activities conducted by our sales team or agents, are found to be in violation of any of these laws or any other governmental regulations that may apply to us, we may be subject to significant civil, criminal, and administrative penalties, damages, fines, and exclusion from government healthcare programs. Any action against us for violation of these laws, even if we successfully defend against it, could cause us to incur significant legal expenses, divert our management’s attention from the operation of our business, and damage our reputation. In addition, even if we are not determined to have violated these laws, government investigations into these issues typically require the expenditure of significant resources and generate negative publicity, and could result in related stockholder suits, any of which could also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in the future, we or our licensees may become subject to additional laws or regulations issued by federal or state agencies, all of which are subject to influence resulting from changes in political party control. We are uncertain of the impact or outcome of new legislation, regulation, Executive Orders, rescission of rules and policy statements, or new agency priorities, especially any relative impact on the healthcare regulatory and policy landscape, or the impact they may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or future legislation or regulations may adversely affect reimbursement from government healthcare programs and third-party payers.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significant efforts by government officials and legislators to implement changes in healthcare systems to regulate prices or payment for pharmaceutical products, including legislation on drug importation, which could adversely affect our royalty revenues. Federal and state laws have put considerable pressure on the pricing of pharmaceutical products, and additional reforms may further constrain pricing, reimbursement and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2022, the Inflation Reduction Act of 2022 (“IRA”) was signed into law. Among other things, the IRA requires manufacturers of certain drugs to engage in price negotiations with Medicare (beginning in 2026), with prices that can be negotiated subject to a cap, and establishes monetary penalties for manufacturers that do not comply. The IRA also requires manufacturers to pay rebates to Medicare if the prices of certain drugs outpace inflation (first due in 2023), and it replaces the Medicare Part D coverage gap discount program with a new discounting program (beginning in 2025). Further. the IRA permits the Secretary of the Department of Health and Human Services (“HHS”) to implement certain of these provisions through guidance, as opposed to regulation, for the initial years and significant aspects of the law remain subject to ongoing regulatory implementation and legal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April 2025, an executive order was signed directing the Secretary of HHS to take appropriate steps to, among other things, modify certain provisions of the Medicare Drug Price Negotiation Program, and develop and implement a payment model to reduce the price of high-cost prescription drugs and biological products covered by Medicare. In May 2025, a further executive order was signed directing the Secretary of HHS to propose rules that impose “most-favored-nation” pricing and to take other measures to reduce the cost of prescription drugs. It is currently unclear whether and to what extent these measures will be implemented and what impact any such implementation would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directly commercialize pharmaceutical products, our royalty revenues are based on the net sales of products commercialized by our licensees, and the IRA’s drug pricing and rebate provisions could reduce the prices that may be charged for certain products or increase mandatory rebates and discounts owed by manufacturers. To the extent our licensed products are or become subject to Medicare price negotiations, inflation-based rebates, Medicare Part D manufacturer discounts or other pricing constraints, our licensees’ net sales of such products may be reduced. Because our royalty revenues are based on a percentage of net sales, any reduction in pricing, increased rebates or discounts, or other limitations on reimbursement could materially reduce the royalty payments we receive.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future course of federal or state healthcare legislation in the United States directed at broadening the availability of healthcare and containing or lowering the cost of healthcare. The ACA, the IRA and any further changes in the law or regulatory framework, including additional drug pricing reform measures, could also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a federal government shutdown were to occur for a prolonged period, federal government payment obligations, including its obligations under Medicaid and Medicare, may be delayed. Similarly, if state government shutdowns were to occur, state payment obligations may be delayed. If the federal or state governments fail to make payments under these programs on a timely basis, the ability of our licensees to sell our products to government payers may be limited, thereby reducing anticipated net sales and royalty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 and costs associated with winding down our general and administrative, commercial, and research and development activities may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significant costs associated with winding down our normal historic operations, such as separation of employees, termination of contracts and engagement of external consultants, all of which have and, in the future, will reduce our cash resources and take up large portions of our employees’ and consultants’ time. We have received certain invoices related to our historic operations that we are currently disputing. Our accruals related to such invoices reflect the amount we believe we will be responsible for based on the current information we have. Any litigation related to such disputes or to the winding down of our operations, as well as any unforeseen liabilities related to the same, could have a material impact on our business, growth, financial conditions, results of operations and cash flows. There is no guarantee that our cash and cash equivalents on hand at any given time will be enough to cover our liabilities associated with winding down our historic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after the approval of IMVEXXY, BIJUVA, and ANNOVERA, the products and the holder of the marketing authorizations will still face extensive, ongoing regulatory requirements and review, and the products may face future development and regulatory difficulties.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IMVEXXY, BIJUVA, and ANNOVERA, the FDA may still impose significant restrictions on a product’s indicated uses or marketing or to the conditions for approval or impose ongoing requirements for potentially costly post-approval studies, including phase 4 clinical trials or post-market surveillance. As a condition to granting marketing approval of a product, the FDA may require additional clinical trials. The results generated in these post-approval clinical trials could result in loss of marketing approval, changes in product labeling, or new or increased concerns about side effects or efficacy of a product. For example, the labeling for IMVEXXY, BIJUVA, and ANNOVERA contains restrictions on use and warnings. The Food and Drug Administration Amendments Act of 2007 gives the FDA enhanced post-market authority, including the imposition of a Risk Evaluation and Mitigation Strategy (“REMS”) as well as explicit authority to require post-market studies and clinical trials, labeling changes based on new safety information, and compliance with FDA-approved REMS programs. IMVEXXY, BIJUVA, and ANNOVERA will also be subject to ongoing FDA requirements governing the manufacturing, labeling, packaging, storage, distribution, safety surveillance and reporting, advertising, promotion, record keeping, and reporting of safety and other post-market information. The FDA’s exercise of its authority could result in delays or increased costs during product development, clinical trials and regulatory review, increased costs to comply with additional post-approval regulatory requirements, and potential restrictions on sales of approved products. Foreign regulatory agencies often have similar authority and may impose comparable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FDA’s approval of IMVEXXY, we committed to conduct a post-approval observational study to evaluate the risk of endometrial cancer in post-menopausal women with a uterus who use a low-dose vaginal estrogen unopposed by a progestogen such as IMVEXXY, which study was assumed by Mayne Pharma as the holder of the NDA. As part of the FDA’s approval of ANNOVERA, the FDA has required four non-closed post-marketing studies, including both post-marketing reviews and post-marketing commitments. Each study has a timeline for completion and submission of a final report to the FDA. If a post-approval study is not fulfilled according to FDA requirements, the FDA may impose certain further requirements and penalties against the holder of the NDA, which could include withdrawal of the NDA approval and withdrawal of the product from the market. For ANNOVERA, post marketing studies are being performed by the Population Council and Mayne Pharma as the NDA holder. In July 2021, we received a letter from the FDA indicating that the post-marketing commitment study being conducted by the Population Council for ANNOVERA to characterize the in vivo release rate of ANNOVERA was not fulfilled to FDA’s satisfaction. In addition, the final reports for the two post-marketing requirement studies being performed by the Population Council for ANNOVERA were not submitted by the initial listed submission deadline, which deadlines have since been extended by FDA. To the extent that Mayne Pharma or the Population Council, as applicable, does not fulfil these studies to the FDA’s satisfaction, the ability of our licensees to sell the applicable product may be limited and there may be an adverse impact on our revenue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Post-marketing studies, whether conducted by us or by others and whether mandated by regulatory agencies or voluntary, and other emerging data about marketed products, such as adverse event reports, may also adversely affect sales of our pharmaceutical product candidates once approved, and potentially our other marketed products. Further, the discovery of significant problems with a product similar to one of our products that implicate (or are perceived to implicate) an entire class of products could have an adverse effect on sales of our approved products. Accordingly, new data about our products could negatively affect demand because of real or perceived side effects or uncertainty regarding efficacy and, in some cases, could result in product withdrawal or recall. Furthermore, new data and information, including information about product misuse, may lead government agencies, professional societies, and practice management groups or organizations involved with various diseases to publish guidelines or recommendations related to the use of our products or the use of related therapies or place restrictions on sales. Such guidelines or recommendations may lead to lower sales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pharmaceutical products and their facilities are subject to continual review and periodic inspections by the FDA and other regulatory authorities for compliance with the FDA’s cGMP regulations and other regulatory requirements, such as adverse event reporting. Facilities for the manufacturer of pharmaceutical products also undergo internal audits as well as external audits by third parties. If our licensees or a regulatory agency discovers problems with a product, such as adverse events of unanticipated severity or frequency or problems with the facility where the product is manufactured, a regulatory agency may impose restrictions on that product, the manufacturing facility, or our licensees, including requiring recall or withdrawal of the product from the market or suspension of manufacturing, requiring new warnings or other labeling changes to limit use of the drug, requiring that additional clinical trials be conducted, imposing new monitoring requirements, or requiring the establishment of a REMS program. Advertising and promotional materials must comply with FDA rules in addition to other potentially applicable federal and state laws and are subject to review by FDA. If the FDA raises concerns regarding our licensees’ promotional materials or messages, they may be required to modify or discontinue using them and may be required to provide corrective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products must now meet the requirements of the Drug Supply Chain Security Act (“DSCSA”) which imposes obligations on manufacturers of prescription 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and its implementing regulations.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activities and the activities of our licensees are also potentially subject to federal and state consumer protection and unfair competition laws. If we, our licensees or our third-party suppliers fail to comply with applicable regulatory requirements, a regulatory agency may take any of the following actions:</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105"/>
        <w:gridCol w:w="200"/>
        <w:gridCol w:w="76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an investigation into our or our licensees’ practices and any alleged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seek an injunction or impose civil or criminal penalties or monetary fines;</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05"/>
        <w:gridCol w:w="200"/>
        <w:gridCol w:w="3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suspend or withdraw regulatory approval;</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05"/>
        <w:gridCol w:w="200"/>
        <w:gridCol w:w="9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suspend or impose restrictions on our licensees’ operations, including costly new manufacturing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seize or detain products, refuse to permit the import or export of products, or require our licensees to initiate a product recall;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exclude our licensees from providing our products to those participating in government healthcare programs, such as Medicare and Medicaid, and refuse to allow our licensees to enter into supply contracts, including government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authorities continue to pursue actions against pharmaceutical companies for violations of fraud, abuse and other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government has pursued actions against pharmaceutical companies for violations of fraud, abuse, and other laws, including, but not limited to the AKS, False Claims Act, FDCA, HIPAA, HITECH, Ryan Haight Act, and others, including marketing and promotional compliance programs or codes of conduct, and law or rules requiring reporting of commercial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Ours or our licensee’s compliance controls, policies, and procedures may not be sufficient to protect against acts of ours or their employees, business partners, licenses, or vendors that may violate federal or state fraud and abuse laws or other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violations of any of these law or rules may result in penalties that may force us to expend significant amounts of time and money and may significantly inhibit our licensee’s ability to continue to market our products and generate revenue. Following the closing of the vitaCare divestiture, we may still be required to indemnify the buyer of vitaCare in the event any enforcement related to activities prior to the vitaCare divestiture. Similar regulations apply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our dietary supplement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hormone therapy pharmaceutical products or patient-controlled, long-acting contraceptive products do not have the effects intended or cause undesirable side effects, our business may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many of the ingredients in our dietary supplement products are vitamins, minerals, and other substances for which there is a long history of human consumption, they also contain innovative ingredients or combinations of ingredients. Furthermore, our hormone therapy or patient-controlled, long-acting contraceptive pharmaceutical products have been approved by the FDA based on its assessment of the safety and efficacy of these products. While we believe that all of these products and the combinations of ingredients in them are safe when taken as directed, the products could have certain undesirable side effects if not taken as directed or if taken by a consumer who has certain medical conditions. In addition, these products may not have the effect intended if they are not taken in accordance with certain instructions, which include certain dietary or other labeling restrictions. Furthermore, the products, even when used as directed, may not have the effects intended or will not have harmful side effects in an unforeseen way or on an unforeseen cohort. If any of our products are shown to be harmful or generate negative publicity from perceived harmful effects, our business, financial condition, results of operations, and prospects could be harmed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products face significant competition from branded and generic products, and our operating results will suffer if we fail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awareness of our products will depend largely upon our licensee’s success in increasing the consumer base for our products. The pharmaceutical and dietary supplement industries are intensely competitive and subject to rapid and significant technological change. Our products face intense competition, including from major multinational pharmaceutical and dietary supplement companies, established biotechnology companies, specialty pharmaceutical, and generic drug companies. Many of these companies have greater financial and other resources, such as larger R&amp;D staffs and more experienced marketing and manufacturing organizations. As a result, these companies may obtain regulatory approval more rapidly and may be more effective in selling and marketing their products. They also may invest heavily to accelerate discovery and development of novel compounds or to in-license novel compounds that could make the products that we sell or develop obsolete. Smaller or early-stage companies may also prove to be significant competitors, particularly through collaborative arrangements with large, established companies. If our licensees are unable to economically promote or maintain our brand, our business, results of operations and financial condition could be severely harmed. Loss of exclusivity may provide opportunity for competing products, particularly generics, to siphon off our consumers. In addition, under the Mayne License Agreement, the royalty rate is subject to a 2% reduction upon the earlier to occur of (i) the expiration or revocation of the last valid claim covering a Licensed Product, and (ii) a generic product launch (a “LOE”).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ANDA submitted to the FDA by Teva Pharmaceuticals USA, Inc. (“Teva”) seeking approval to market a generic version of IMVEXXY. See “If our efforts or the efforts of our licensees to protect the proprietary nature of the intellectual property covering our hormone therapy pharmaceutical products and other products are not adequate, we may not be able to compete effectively in our market” below for more information regarding the IMVEXXY Notice Letter. In March 2020, we received a Paragraph IV certification notice letter (the “BIJUVA Notice Letter”) regarding an ANDA submitted to FDA by Amneal Pharmaceuticals. See Item 1. Business – Pharmaceutical Regulation – Regulatory Exclusivity for more information on the BIJUVA Notice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June 2024, Mayne Pharma received a Paragraph IV certification notice letter (the “Sun Notice Letter”) regarding an ANDA submitted to the FDA by Sun Pharma Inc. (“Sun Pharma”), seeking approval from the FDA to commercially manufacture, use, or sell a generic version of IMVEXXY and alleging that the IMVEXXY Patents are invalid, unenforceable, and/or will not be infringed by Sun Pharma’s commercial manufacture, use, or sale of its proposed generic drug product. An adverse ruling in this matter could trigger LOE, and thereby reduce our royalty rate under the Mayne License Agreement, earlier than expected. As of December 31, 2025, the litigation remains ongoing and has progressed to claim construction. See Item 3. Legal Proceedings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predict what additional ANDAs could be filed by Teva or other potential generic competitors requesting approval to market generic forms of our products, which if approved, could result in significant decreases in the revenue derived from royalties sales of our marketed products and thereby harm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attract and retain qualified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one employee and use a limited number of external consultants for the operation of our company, any of whom may terminate their consultancy with us at any time. We may not be able to attract and retain consultants on acceptable terms given the competition for similar personnel. Some of our consultants and advisors may be employed by employers other than us and may have commitments under consulting or advisory contracts with other entities that may limit their availability to us. We do not maintain “key person” insurance. If we are unable to continue to use our current consultants, or if we are unable to recruit new consultants, then our ability to operate our business will be negatively impacted and it could interfere with our ability to receive any potential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condition and results of operations may be adversely affected by any future pandemics or epidemics.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impacted by any future pandemics or epidemics. The severity of the impact of any pandemic on our business and operating results will depend on future developments that are highly uncertain and cannot be accurately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pandemics or epidemics can negatively affect the ability of our licensees’ sales force to access healthcare providers to promote our products and the ability of patients to visit their healthcare professionals for non-emergent matters. Accordingly, the sales force of our licensees may continue to use a hybrid model of office visits when necessary and digital engagement tools and tactics and virtual detailing, which may be less effective than their ordinary course sales and marketing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our future results of operations and liquidity could be adversely affected during or following any future pandemics or epidemics by extended billing and collection cycles at our company, our licensees, or otherwise; delays in payments of outstanding receivable amounts beyond normal payment terms, including royalty payments; supply chain disruptions; and uncertain demand.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disruptions have occurred and may occur in the future that affect our licensees’ ability to obtain supplies or other components for our products, manufacture additional products, or deliver inventory in a timely manner. This would result in lost sales (and royalties) and damage to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experience other unknown impacts from any future pandemics or epidemics that cannot be predicted. Accordingly, disruptions to our business as a result of pandemics or epidemics could result in an adverse effect on our business, results of operations,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obtain regulatory approval outside the U.S. will prevent our licensees from marketing our hormone therapy pharmaceutical products in non-U.S.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licensing and supply agreements with Knight and Theramex to commercialize IMVEXXY and BIJUVA in non-U.S. markets. To market these products in the European Union and many other non-U.S. jurisdictions, our licensees must obtain separate regulatory approvals. We have had limited interactions with non-U.S. regulatory authorities, the approval procedures vary among countries and can involve additional testing, and the time required to obtain approval may differ from that required to obtain FDA approval or clearance. Approval or clearance by the FDA does not ensure approval by regulatory authorities in other countries, and approval by one or more non-U.S. regulatory authorities does not ensure approval by other regulatory authorities in other countries or by the FDA. The non-U.S. regulatory approval process may include all risks associated with obtaining FDA approval or clearance. For these non-U.S. regulatory approvals, our licensees may not obtain them on a timely basis, if at all. Our licensees’ failure to receive necessary non-U.S. regulatory approvals to commercialize IMVEXXY and BIJUVA in a given market could have an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by seeking to obtain approval to market IMVEXXY and BIJUVA in one or more non-U.S. markets, we or our licensees will be subject to rules and regulations in those markets relating to our products. In some countries, particularly countries of the European Union, each of which has developed its own rules and regulations, pricing is subject to governmental control. In these countries, pricing negotiations with governmental authorities can take considerable time after the receipt of regulatory approval for a drug. To obtain reimbursement or pricing approval in some countries, our licensees may be required to conduct a clinical trial that compares the cost-effectiveness of our pharmaceutical product to other available products. If reimbursement of our pharmaceutical product is unavailable or limited in scope or amount, or if pricing is set at unsatisfactory levels, our licensees may be unable to generate revenues and achieve or sustain profitability with respect to any given market, which could have an adverse effect on our business, financial condition, results of operations, and prospects. If our licensees obtain approval to market IMVEXXY or BIJUVA in one or more non-U.S. markets, there will be additional pharmacovigilance reporting requirements for our products. To the extent that the non-U.S. markets in which our licensees distribute our products have different pharmacovigilance reporting requirements than the U.S., there is a risk that the marketing of our drugs in those countries may increase the number of adverse events reported for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is tied to our licensees’ distribution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dependent on our licensees’ distribution through wholesale distributors and retail pharmacy distributors. Our business would be harmed if our licensees’ customers refused to distribute our products and if our licensees were not able to replace such customers through their distribution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utilize net operating loss carryforwards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federal net operating loss (“NOL”) carryforwards of $584.6 million. Subject to applicable limitations, our NOL may be used to offset future taxable income, to the extent we generate any taxable income, and thereby reduce our future federal income taxes otherwise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of 1986, as amended, imposes limitations on a corporation’s ability to utilize NOL carryforwards if it experiences an ownership change as defined in Section 382. In general terms, an ownership change may result from transactions increasing the ownership of certain stockholders in the stock of a corporation by more than 50 percent over a three-year period. If an ownership change has occurred, or were to occur, utilization of our NOL carryforwards would be subject to an annual limitation under Section 382 determined by multiplying the value of our stock at the time of the ownership change by the applicable long-term tax-exempt rate. Any unused annual limitation may be carried over to later years. We may be found to have experienced an ownership change under Section 382 because of events in the past or the issuance of shares of our common stock in the future. If so, the use of our NOL carryforwards, or a portion thereof, against our future taxable income may be subject to an annual limitation under Section 382.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the U.S. federal government enacted comprehensive tax legislation commonly referred to as the Tax Cuts and Jobs Act (the “2017 Tax Act”). The 2017 Tax Act makes broad and complex changes to the U.S. federal tax code, including, but not limited to reducing the U.S. federal corporate tax rate from 34 percent to 21 percent and imposing new restrictions on the use of NOL carryforwards. The 2017 Tax Act reduced the corporate tax rate to 21 percent, effective January 1, 2018. Management assessed the valuation allowance analyses with respect to our NOL carryforwards as affected by various aspects of the 2017 Tax Act and determined that a full valuation allowance continues to be appropriate. Additionally, to address the impact of the COVID-19 pandemic, the Coronavirus Aid, Relief, and Economic Security Act, or the CARES Act, was enacted into law in March 2020. The CARES Act includes several significant business tax provisions that, among other things, includes further statutory amendments to the rules governing NOL carryforwards, as amended by the 2017 Tax Act. The CARES Act limits the NOL deduction in taxable years beginning in 2021 to the lesser of the NOL carryforwards or 80% of the taxpayer’s taxable income (after considering the deduction for NOL arising in tax years beginning before January 1, 2018), which may restrict our ability to offset future taxable income with NOL carryforwards and increase our future federal income taxes otherwise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of our licensees to adequately maintain a sales force or adequately promote our products will impede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substantially dependent on the sales forces of our licensees to attract new business and to manage existing customer relationships. There is significant competition for qualified, productive direct sales personnel with advanced sales skills and technical knowledge. Our ability to achieve growth in revenue in the future will depend, in large part, on our licensees’ success in recruiting, training, and retaining direct sales personnel, and their decision to adequately promote our products. If our licensees are unable to hire, engage, and develop enough productive sales personnel or fail to adequately promote our products, our business prospects could suffer.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efforts or the efforts of our licensees to protect the proprietary nature of the intellectual property covering our hormone therapy pharmaceutical products and other products are not adequate, we may not be able to compete effectively in our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will depend in part on ours and our licensees’ ability to obtain additional patents and protect our existing patent positions as well as our ability to maintain adequate protection of other intellectual property for our hormone therapy pharmaceutical products. If we do not adequately protect our intellectual property, competitors may be able to use our technologies and erode or negate any competitive advantage we may have, which could harm our business and ability to achieve profitability. The patent positions of pharmaceutical companies are highly uncertain. The legal principles applicable to patents are in transition due to changing court precedent and legislative action, and we cannot be certain that the historical legal standards surrounding questions of validity will continue to be applied or that current defenses relating to issued patents in these fields will be sufficient in the future. Changes in patent laws in the U.S., such as the America Invents Act of 2011, may affect the scope, strength, and enforceability of our patent rights or the nature of proceedings that may be brought by us related to our patent rights. In addition, the laws of some foreign countries do not protect proprietary rights to the same extent as the laws of the U.S., and we may encounter significant problems in protecting our proprietary rights in these countries. We will be able to protect our proprietary rights from unauthorized use by third parties only to the extent that our proprietary technologies are covered by valid and enforceable patents or are effectively maintained as trade secrets.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include the possibility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patent applications that we or our licenses have filed may fail to result in issued patents in the U.S. or in foreign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patents issued or licensed to us, or our partners, may be challenged or discovered to have been issued on the basis of insufficient, incomplete, or incorrect information, and thus held to be invalid or unenforceable;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scope of any patent protection may be too narrow to exclude competitors from developing or designing around these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the Population Council, or our licensees were not the first to make the inventions covered by each of our issued patents and pending patent applications, or may have created bars under U.S. or foreign laws that would preclude the issuance of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the Population Council, or our licensees may not have been the first inventors to invent or file patent applications for these technologies in the U.S. or were not the first to file patent applications directed to these technologies abroad;</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may fail to comply with procedural, documentary, fee payment, and other similar provisions during the patent application process, which can result in abandonment or lapse of the patent or patent application, resulting in partial or complete loss of patent rights;</w:t>
            </w:r>
          </w:p>
        </w:tc>
      </w:tr>
    </w:tbl>
    <w:p>
      <w:pPr>
        <w:pStyle w:val="TextBody"/>
        <w:bidi w:val="0"/>
        <w:spacing w:before="0" w:after="0"/>
        <w:ind w:left="0" w:right="0" w:firstLine="36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105"/>
        <w:gridCol w:w="200"/>
        <w:gridCol w:w="5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pharmaceutical product candidates may not be patentable;</w:t>
            </w:r>
          </w:p>
        </w:tc>
      </w:tr>
    </w:tbl>
    <w:p>
      <w:pPr>
        <w:pStyle w:val="TextBody"/>
        <w:bidi w:val="0"/>
        <w:spacing w:before="0" w:after="0"/>
        <w:ind w:left="0" w:right="0" w:firstLine="36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105"/>
        <w:gridCol w:w="200"/>
        <w:gridCol w:w="8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 may claim rights or ownership regarding patents and other proprietary rights that we hold or license;</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delays in development, testing, clinical trials, and regulatory review may reduce the period during which we could market our pharmaceutical products under patent protection; and</w:t>
            </w:r>
          </w:p>
        </w:tc>
      </w:tr>
    </w:tbl>
    <w:p>
      <w:pPr>
        <w:pStyle w:val="TextBody"/>
        <w:bidi w:val="0"/>
        <w:spacing w:before="0" w:after="0"/>
        <w:ind w:left="0" w:right="0" w:firstLine="36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or our licensees may fail to timely apply for patents on our technologies or products.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apply for patents covering our technologies and products, as we deem appropriate, many third parties may already have filed patent applications or have received patents in our areas of product development. These entities’ applications, patents, and other intellectual property rights may conflict with patent applications to which we have rights and could prevent us from obtaining patents or could call into question the validity of any of our patents, if issued, or could otherwise adversely affect our ability to develop, manufacture, or commercialize our pharmaceutical products. In addition, if third parties file patent applications in the technologies that also claim technology to which we have rights, we may have to participate in interference, derivation, or other proceedings with the USPTO or foreign patent regulatory authorities to determine our rights in the technologies, which may be time-consuming and expensive. Moreover, issued patents may be challenged in the courts or in post-grant proceedings at the USPTO, or in similar proceedings in foreign countries. These proceedings may result in loss of patent claims or adverse changes to the scope of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the Population Council, our licensees, or our strategic partners fail to obtain and maintain patent protection for our products, or our proprietary technologies and their uses, companies may be dissuaded from collaborating with us or our licensees. In such event, ours or our licensee’s ability to commercialize our pharmaceutical products may be threatened, we could lose our competitive advantage, and the competition we face could increase, all of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mechanisms exist in much of the world permitting some form of challenge by generic drug marketers to our patents before, or immediately following, the expiration of any regulatory exclusivity, and generic companies are increasingly employing aggressive strategies, such as “at risk” launches or the post-grant approval processes that exists in the U.S. and foreign jurisdictions to challenge relevant patent rights. In February 2020, we received the IMVEXXY Notice Letter regarding an ANDA submitted to the FDA by Teva. The ANDA submitted by Teva seeks approval from the FDA to commercially manufacture, use, or sell a generic version of the 4 mcg and 10 mcg doses of IMVEXXY.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IMVEXXY Notice Letter, Teva alleges that IMVEXXY Patents listed in the FDA’s Orange Book that claim compositions and methods of IMVEXXY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September 2021, the District Court made available a public version of the order following the parties’ agreement to a consent motion to redact information Teva contended was confidential. The order provides that the statutory stay that prevents FDA from granting final approval of the ANDA for 30 months from the date of the Notice Letter will be extended for the number of days that the stay of the IMVEXXY litigation is in place. In November 2024, the court lifted the stay. As of December 31, 2025, the litigation remains ongoing and has progressed to claim construction, which the courts determine the meaning and scope of the asserted patent claims that will govern subsequent infringement and validity analysis.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any patent infringement lawsuit that we or our licensees may file will prevent the introduction of a generic version of IMVEXXY for any particular length of time, or at all. If Teva’s ANDA is approved, and a generic version of IMVEXXY is introduced, the sales of IMVEXXY could be adversely affected and our license revenue could be significantly decreased. In addition, we cannot predict what additional ANDAs could be filed by Teva, or other potential generic competitors requesting approval to market generic forms of our products, which could require us or our licensees to incur significant additional expense and result in distraction for our management team, and if approved, result in significant decreases in the revenue derived from sales of our marketed products and thereby harm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may rely on unpatented proprietary technology, know-how, and trade secrets. If the confidentiality of this intellectual property is breached, it could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rely on Mayne Pharma to file lawsuits or take other actions to protect or enforce our patents and they may not take such actions or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patents or the patents of the ANNOVERA licensor. Following the Mayne Transaction, we no longer have the express right to enforce our intellectual property. To counter infringement or unauthorized use, we must rely on Mayne Pharma to file infringement claims, including with respect to Teva’s IMVEXXY Notice Letter. Mayne Pharma may not have sufficient financial or other resources to file and pursue such infringement claims in the United States, which typically last for years before they are concluded. In addition, the Mayne Lawsuits could adversely affect our working relationship and may reduce Mayne Pharma’s willingness or incentive to aggressively pursue infringement claims, to devote sufficient financial and managerial resources to patent enforcement and to coordinate litigation strategy with us. If Mayne Pharma were to decline to pursue, delay, settle on unfavorable terms, or otherwise inadequately prosecute infringement claims, our patent protection and the associated royalty revenues could be materially adversely affected.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marketing of competing products in violation of our proprietary rights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an infringement proceeding, a court may decide that a patent of ours or of the ANNOVERA licensor is not valid or is unenforceable or may refuse to stop the other party from using the technology at issue on the grounds that our patents, or those of the ANNOVERA licensor, do not cover the technology in question or on other grounds. An adverse result in any litigation or defense proceedings could put one or more of our patents, or those of the ANNOVERA licensor, at risk of being invalidated, held unenforceable, or interpreted narrowly. Moreover, we may not be able to prevent, alone or with our licensees, or the ANNOVERA licensor, misappropriation of our proprietary rights, particularly in countries in which the laws may not protect those rights as fully as in the U.S. or in those countries in which we do not file national phase patent applications. Furthermore, because of the substantial amount of discovery required in connection with intellectual property litigation, there is a risk that some of our confidential information could be compromised by disclosure during this type of litigation. In addition, if securities analysts or investors perceive public announcements of the results of hearings, motions, or other interim proceedings or developments to be negative, the price of our common stock could be adversely affected. The occurrence of any of the above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“public shell” company which could have negative consequences, including potential Nasdaq delisting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Global Select Market. We have no current plans to delist our common stock from Nasdaq. However, following the transaction with Mayne Pharma, when we changed our business to become a royalty company, we may be treated as a “public shell” company under the Nasdaq rules, the Securities Act of 1933, as amended (the “Securities Act”), or the Securities Exchange Act of 1934, as amended (the “Exchange Act”). Although Nasdaq evaluates whether a listed company is a public shell company based on a facts and circumstances determination, a Nasdaq-listed company with no or nominal operations and either no or nominal assets, assets consisting solely of cash and cash equivalents, or assets consisting of any amount of cash and cash equivalents and nominal other assets is generally considered to be a public shell company. Listed companies determined to be public shell companies by Nasdaq may be subject to delisting proceedings or additional and more stringent listing criteria. Additionally, we may be subject to delisting proceedings as a result of our failure to maintain compliance with additional continued listing requirements of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or if in the future we determine to delist our common stock, we would expect that such securities would qualify for trading over-the-counter, or OTC, in the United States on a market colloquially referred to as the “Pink Sheets.” Securities quoted OTC are generally subject to lesser requirements than securities listed for trading on a U.S. national stock exchange, such as Nasdaq, including reduced corporate governance and public reporting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should delist our common stock from trading, or if in the future we determine to delist our common stock, a reduction in some or all of the following may occur, each of which could have a material adverse effect on holders of our common stock: the liquidity of our common stock; the market price of our common stock; the number of institutional and general investors that will consider investing in our common stock; the number of investors in general that will consider investing in our common stock; the number of market makers in our common stock; the availability of information concerning the trading prices and volume of our common stock; and the number of broker-dealers willing to execute trades in our common stock. In addition to the foregoing, there are certain consequences under the Securities Act of being a public shell company, including the unavailability of Rule 144 thereunder for the resale of restricted securities and the inability to utilize Form S-8 for the registration of employee benefit plan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stockholder owns a significant percentage of our stock and will be able to exert significant control over matters subject to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Rubric Capital Management LP (“Rubric”) and its affiliates beneficially owned approximately 25.5% of our common stock. Rubric may be able to largely determine the outcome of all matters requiring stockholder approval. For example, Rubric may be able to largely control elections of directors, amendments of our organizational documents, or approval of any merger, sale of assets, or other major corporate transactions. This may prevent or discourage unsolicited acquisition proposals or offers for our common stock that you may feel are in your best interest as one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proper internal controls, our ability to produce accurate financial statements or comply with applicable regulations could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of the Sarbanes-Oxley Act, our management is required annually to deliver a report that assesses the effectiveness of our internal control over financial reporting. Due to our current filing status, we are not required to have our independent registered public accounting firm deliver an attestation report on the effectiveness of our internal control over financial reporting. If we are unable to maintain effective internal control over financial reporting or our independent auditors are unwilling or unable to provide us with an attestation report on the effectiveness of internal control over financial reporting for future periods as required by, or voluntarily followed under, Section 404 of the Sarbanes-Oxley Act, we may not be able to produce accurate financial statements, and investors may therefore lose confidence in our operating results, our stock price could decline and we may be subject to litigation or regulatory enforcement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dividends on our common stock so any returns may be limited to the value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anticipate that we will retain any future earnings for the operation of our business and do not anticipate declaring or paying any cash dividends for the foreseeable future. In addition, the terms of any future debt agreements may also preclude us from paying dividends. Any return to stockholders may be limited to the capital appreciation, if any, of their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provisions of our charter documents and Nevada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articles of incorporation and bylaws, as well as certain provisions of Nevada law, could make it more difficult for a third-party to acquire us or increase the cost of acquiring us, even if an acquisition would benefit our stockholders, and could also make it more difficult to remove our current management. These provisions in our articles of incorporation and bylaws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authorizing the issuance of “blank check” preferred stock that could be issued by our Board of Directors to increase the number of outstanding shares and thwart a takeover attempt;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prohibiting cumulative voting in the election of directors, which would otherwise allow less than a majority of stockholders to elect director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advance notice provisions in connection with stockholder proposals that may prevent or hinder any attempt by our stockholders to bring business to be considered by our stockholders at a meeting or replace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Nevada’s Combination with Interested Stockholders statute (Nevada Revised Statute Sections 78.411 – 78.444), which prohibits an “interested stockholder” from entering into a “combination” with a company, unless certain conditions are met. An “interested stockholder” is a person who, together with affiliates and associates, beneficially owns (or within the prior two years, did beneficially own) 10% or more of the corporation’s capital stock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affected by unfavorable publicity or lack of consumer acceptance.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upon consumer acceptance of the safety and quality of our products, as well as similar products distributed by other companies. Consumer acceptance of a product can be significantly influenced by scientific research or findings, national media attention, and other publicity about product use, products themselves, or marketing campaigns for our products. A product may be received favorably, resulting in high sales associated with that product that may not be sustainable as consumer preferences change. Future scientific research or publicity could be unfavorable to our industry or any of our products and may not be consistent with earlier favorable research or publicity. A future research report or publicity that is perceived by consumers as less than favorable or that may question earlier favorable research or publicity could have an adverse effect on sales of our products and our ability to generate revenue. Adverse publicity in the form of published scientific research, statements by regulatory authorities or otherwise, whether or not accurate, that associates use of our products or any other similar products with illness or other adverse effects, or that questions the benefits of our products or similar products, or that claims that such products do not have the effect intended, or that question the marketing of our products, could have an adverse effect on our business, reputation,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licensees may initiate product recalls or withdrawals or may be subject to regulatory enforcement actions that could negatively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may be subject to product recalls, withdrawals, or seizures if any of our products are believed to cause injury or illness or if our licensees are alleged to have violated governmental regulations in the manufacture, labeling, promotion, sale, or distribution of any of our products. A recall, withdrawal, or seizure of any of our products could adversely affect consumer confidence in our brands and lead to decreased demand for our products, which could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 lawsuits could divert our resources, result in substantial liabilities, and reduce the commercial potential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an inherent risk of product liability claims because of the commercial availability of our current products. Additionally, considering the history of product liability claims related to other hormone therapy products and contraceptives, we will face an even greater risk through commercialization of our products. For example, we may be sued if any product we develop allegedly causes injury or is found to be otherwise unsuitable during manufacturing, marketing, or sale. Any such product liability claims may include allegations of defects in manufacturing, defects in design, failures to warn of dangers associated with the use of the product, negligence, strict liability, or breaches of warranties. Claims could also be asserted under state consumer fraud and protection statutes. If we cannot successfully defend ourselves against product liability claims, we may incur substantial liabilities or be required to limit commercialization of our existing products or pharmaceutical product candidates. Regardless of the merits or eventual outcome, product liability claims may result in any of the following:</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105"/>
        <w:gridCol w:w="200"/>
        <w:gridCol w:w="36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inability to commercialize our products;</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05"/>
        <w:gridCol w:w="200"/>
        <w:gridCol w:w="8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difficulty recruiting subjects for clinical trials or withdrawal of these subjects before a trial is completed;</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labeling, marketing, or promotional changes and/or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105"/>
        <w:gridCol w:w="200"/>
        <w:gridCol w:w="25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 recalls or withdrawals;</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05"/>
        <w:gridCol w:w="200"/>
        <w:gridCol w:w="66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decreased demand for our products or products that we may develop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05"/>
        <w:gridCol w:w="200"/>
        <w:gridCol w:w="1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of revenue;</w:t>
            </w:r>
          </w:p>
        </w:tc>
      </w:tr>
    </w:tbl>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05"/>
        <w:gridCol w:w="200"/>
        <w:gridCol w:w="2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injury to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105"/>
        <w:gridCol w:w="200"/>
        <w:gridCol w:w="9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initiation of investigations by regulators or actions by state attorney generals or the U.S. Department of Justice;</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05"/>
        <w:gridCol w:w="200"/>
        <w:gridCol w:w="3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to defend the related litigation;</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diversion of management’s time and our resources;</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substantial monetary awards to trial participants or patients;</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05"/>
        <w:gridCol w:w="200"/>
        <w:gridCol w:w="52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exhaustion of any available insurance and our capital resources;</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obligation to indemnify our licensees that would be a diversion of management’s time and resources; and</w:t>
            </w:r>
          </w:p>
        </w:tc>
      </w:tr>
    </w:tbl>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105"/>
        <w:gridCol w:w="200"/>
        <w:gridCol w:w="2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decline in our stock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maintain general liability insurance and clinical trial liability insurance for our products and product candidates, this insurance may not fully cover potential liabilities. The cost of any product liability litigation or other proceeding, even if resolved in our favor, could be substantial. In addition, our inability to obtain or maintain sufficient insurance coverage at an acceptable cost or to otherwise protect against potential product liability claims could prevent or inhibit the development and commercial production and sale of our products,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to maintain optimal inventory levels to meet commercial demand for our products could harm our and our licensees’ reputation and subject us to financial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ability to maintain optimal inventory levels to meet commercial demand depends on the performance of third-party contract manufacturers. In some instances, our products have unique ingredients used under license arrangements. One of our third-party contract manufacturers has in the past experienced an increase in difficulties with manufacturing of ANNOVERA, resulting in intermittent supply of ANNOVERA for commercial distribution. See “Our dependence upon third parties for the manufacture and supply of our existing women’s healthcare products may cause delays in or prevent our licensees from successfully commercializing and marketing our products” above. If the manufacturers of our products are unsuccessful in obtaining raw materials, if our licensees are unable to manufacture and release inventory on a timely and consistent basis, if our licensees fail to maintain an adequate level of product inventory, if inventory is destroyed or damaged, or if our licensees’ inventory reaches its expiration date, patients might not have access to our products, our reputation and brands could be harmed, and physicians may be less likely to recommend our products in the future, each of which could have an adverse effect on our business, financial condition,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impacted by new or changing tax laws or regulations and actions by federal, state, and/or local agencies, or how judicial authorities apply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products we previously sold and the royalties we receive, we calculate, collect, and remit various federal, state, and local taxes, surcharges and regulatory fees, or taxes, to numerous federal, state and local governmental authorities. In addition, we incur and pay state and local taxes and fees on purchases of goods and services used in our business. Tax laws are dynamic and subject to change as new laws are passed and new interpretations of the law are issued or applied. In many cases, the application of tax laws is uncertain and subject to differing interpretations, especially when evaluated against new technologies and services. The impact of tax reform on holders of our common stock is also uncertain and could be adverse.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incorrectly described, disclosed, calculated, assessed, or remitted amounts that were due to governmental authorities, we could be subject to additional taxes, fines, penalties, or other adverse actions, which could impact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effective and efficient information systems or properly safeguard our information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on uninterrupted performance of our information systems. Failure to maintain reliable information systems, disruptions in our existing information systems or the implementation of new systems could cause disruptions in our business operations, including violations of patient privacy and confidentiality requirements and other regulatory requirements, increased administrative expenses and other adverse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information security risks have generally increased in recent years because of new technologies and the increased activities of perpetrators of cyber-attacks resulting in the theft of protected health, business, or financial information. Despite our layered security controls, experienced computer programmers and hackers may be able to penetrate our information systems or the information systems of our licensees and misappropriate or compromise sensitive patient or personnel information or proprietary or confidential information, create system disruptions or cause shutdowns. They also may be able to develop and deploy viruses, worms and other malicious software programs that disable our systems or otherwise exploit any security vulnerabilities. Outside parties may also attempt to fraudulently induce employees to take actions, including the release of confidential or sensitive information or to make fraudulent payments, through illegal electronic spamming, phishing, or other tactics.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in or breach of our information systems or those of our licensees because of cyber-attacks or other tactics could disrupt our business, result in the release or misuse of protected health information, or PHI, confidential or proprietary business information or financial loss, damage our reputation, increase our administrative expenses, and expose us to additional risk of liability to federal or state governments or individuals. Although we believe that we have robust information security procedures and other safeguards in place, as cyber threats continue to evolve, we may be required to expend additional resources to continue to enhance our information security measures or to investigate and remediate any information security vulnerabilities. Our remediation efforts may not be successful and could result in interruptions, delays or cessation of service and loss of existing or potential patients and disruption of our operations. In addition, breaches of our security measures and the unauthorized dissemination of patient healthcare and other sensitive information, proprietary or confidential information about us or other third-parties could expose such persons’ private information to the risk of financial or medical identity theft or expose us or such persons to a risk of loss or misuse of this information, result in litigation and potential liability for us, damage our brand and reputation or otherwise harm our business. Any of these disruptions or breaches of security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foreign data protection laws and regulations could lead to government enforcement actions and significant penalties against us, and adversely impact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Union member states and other foreign jurisdictions, including Switzerland, have adopted data protection laws and regulations which impose significant compliance obligations. Moreover, the collection and use of personal health data in the European Union is governed by the European Union General Data Protection Regulation the (“GDPR”), which imposes wide-ranging requirements relating to, among other things,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European Union to the U.S., provides an enforcement authority and imposes large penalties for noncompliance, including the potential for fines of up to €20 million or 4% of the annual global revenues of the non-compliant company, whichever is greater. The implementation of the GDPR has increased our responsibility and liability in relation to personal data that we process, and we may in the future be required to put in place additional mechanisms to ensure compliance with the GDPR, which could divert management’s attention and increase our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2020, the Court of Justice of the European Union issued its long-awaited decision in the case Data Protection Commission v. Facebook Ireland, Schrems. The decision on this case invalidated the European Commission’s adequacy decision for the EU-U.S. Privacy Shield Framework, calling into question personal data transfers from the EU to the U.S. On July 10, 2023, the European Commission adopted its Final Implementing Decision granting the U.S. adequacy (Adequacy Decision) for EU-U.S. transfers of personal information for companies that self-certify to the Trans-Atlantic Data Privacy Framework (the “DPF”). While we have yet to determine the full impact of the DPF on our business, any transfers by us or our vendors or licensees of personal information subject to the GDPR may not comply with data protection law and may increase our exposure to the GDPR’s heightened sanctions for violations of its cross-border data transfer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European Union and other jurisdictions, and we cannot determine the impact such future laws, regulations and standards may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and business partners may not appropriately secure and protect confidential information in their possession.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 and business partners are responsible for the security of the information in our systems or under our control and to ensure that private and financial information is kept confidential. Should an employee or business partner not follow appropriate security measures, including those related to cyber threats or attacks or other tactics, as well as our privacy and security policies and procedures, the improper release of personal information, including PHI, or confidential business or financial information, or misappropriation of assets could result. The release of such information or misappropriation of assets could have an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Employees may engage in misconduct or other improper activities, including noncompliance with regulatory standards and requirements and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employee fraud or other misconduct. Misconduct by our employee could include intentional failures to comply with FDA regulations, to provide accurate information to the FDA, to comply with federal and state healthcare fraud and abuse laws and regulations, to report financial information or data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We have adopted a Code of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these laws or regulations. If any such actions are instituted against us or our licensees,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sued for infringing intellectual property rights of third parties, litigation will be costly and time consuming and could prevent or delay us from developing or commercializing our pharmaceutical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not infringing the patents and proprietary rights of other parties and not breaching any collaboration or other agreements we entered with regard to our technologies and products. We are aware of numerous third-party U.S. and non-U.S. issued patents and pending applications that exist in the technical areas of our pharmaceutical products, including compounds, formulations, treatment methods, and synthetic processes, which may be applied towards the synthesis of hormones, for example. Patent applications are confidential when filed and remain confidential until publication, approximately 18 months after initial filing, while some patent applications remain unpublished until issuance. As such, there may be other third-party patents and pending applications of which we are currently unaware with claims directed towards composition of matter, formulations, methods of manufacture, or methods for treatment related to the use or manufacture of our products or product candidates. Therefore, we cannot ever know with certainty the nature or existence of every third-party patent filing. We cannot provide assurances that our licensees or their partners will be free to manufacture or market our products as planned or that we or the ANNOVERA licensors’ and partners’ patents will not be opposed or litigated by third parties. If any third-party patent was held by a court of competent jurisdiction to cover aspects of our materials, formulations, methods of manufacture, or methods of treatment related to the use or manufacture of any of our products, the holders of any such patent may be able to block our ability to commercialize the applicable product unless we obtained a license or until such patent expires or is finally determined to be held invalid or unenforceable. We may not be able to obtain a license to such patent on favorable terms or at all. Failure to obtain such license may have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substantial amount of litigation involving intellectual property in the pharmaceutical industry generally. If a third-party asserts that we infringe its patents or other proprietary rights, we could face many risks that could adversely affect our business, financial condition, results of operations, and prospects,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infringement and other intellectual property claims, which would be costly and time-consuming to defend, whether or not we are ultimately successful, which in turn could delay the regulatory approval process, consume our capital, and divert management’s attention from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substantial damages for past infringement, which we may have to pay if a court determines that our products or technologies infringe a competitor’s patent or other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court prohibiting us from selling or licensing our technologies or future products unless the third-party licenses its patents or other proprietary rights to us on commercially reasonable terms, which it is not required to do;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 license is available from a third-party, we may have to pay substantial royalties or lump sum payments or grant cross licenses to our patents or other proprietary rights to obtain that license;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redesigning our products so they do not infringe, which may not be possible or may require substantial monetary expenditures and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from time to time to legal proceedings relating to our intellectual property, and third parties in the future may file claims asserting that our technologies, processes, or products infringe on their intellectual property. We cannot predict whether third parties will assert these claims against us or our strategic partners or against the licensors of technology licensed to us or our licensees, or whether those claims will harm our business. In addition, the outcome of intellectual property litigation is subject to uncertainties that cannot be adequately quantified in advance. If we or our partners were to face infringement claims or challenges by third parties relating to our pharmaceutical product candidates, an adverse outcome could subject us to significant liabilities to such third parties, and force us or our partners to curtail or cease the development of some or all of our pharmaceutical product candidates,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certain information, the value of our products and technology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previously relied on trade secrets, know-how, and continuing technological advancement to develop and maintain our competitive position. To protect this competitive position, we regularly enter into confidentiality and proprietary information agreements with third parties, including employees, independent contractors, suppliers, and collaborators. We cannot, however, ensure that these protective arrangements will be honored by third parties, and we may not have adequate remedies if these arrangements are breached. In addition, enforcement of claims that a third-party has illegally obtained and is using trade secrets, know-how, or technological advancements is expensive, time-consuming, and uncertain. Non-U.S. courts are sometimes less willing than U.S. courts to protect this information. Moreover, our trade secrets, know-how, and technological advancements may otherwise become known or be independently developed by competitors in a manner providing us with no practical recourse against the competing parties. If any such events were to occur, they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Company’s continued exploration of strategic alternatives is unsuccessful, our financial condition and results of operations may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continues to evaluate a variety of strategic alternatives that may include, but not be limited to, an acquisition, merger or other business combination, or other strategic transactions involving the Company. Any potential strategic alternative would be dependent on a number of factors that may be beyond our control, including, among other things, market conditions, industry trends, regulatory approvals, and the availability of financing for a potential transaction on reasonable terms. We may incur substantial expenses associated with identifying, evaluating, and negotiating potential strategic alternatives. Any potential transaction or other strategic alternative, if consummated, may not provide greater value to our stockholders than that reflected in the current price of our common stock. In addition, perceived uncertainties related to our future may result in the loss of potential business opportunities and volatility in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former employees wrongfully used or disclosed alleged trade secrets of their former employers or of other third parties with whom we have obligations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pharmaceutical industry, we employ and previously employed individuals who were previously employed at other biotechnology or pharmaceutical companies, including our competitors or potential competitors. We may be subject to claims that these former employees, or we, have inadvertently or otherwise used or disclosed trade secrets or other proprietary information of their former employers. Litigation may be necessary to defend against these claims. Such claims may lead to material costs for us, or an inability to protect or use valuable intellectual property rights, which could adversely affect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highly volatile, and you could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on Nasdaq is likely to be volatile. This volatility may prevent you from being able to sell your shares at or above the price you paid for your shares. Our stock price could be subject to wide fluctuations in response to a variety of factors, which include the following:</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05"/>
        <w:gridCol w:w="200"/>
        <w:gridCol w:w="4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laws or regulations applicable to our products;</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5"/>
        <w:gridCol w:w="200"/>
        <w:gridCol w:w="5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unanticipated serious safety concerns related to the use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105"/>
        <w:gridCol w:w="200"/>
        <w:gridCol w:w="9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inability for our licensees to obtain adequate supply for our products or the inability to do so at acceptable prices;</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05"/>
        <w:gridCol w:w="200"/>
        <w:gridCol w:w="2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regulatory decisions;</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68"/>
        <w:gridCol w:w="200"/>
        <w:gridCol w:w="39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an adverse ruling in the Mayne Lawsuits;</w:t>
            </w:r>
          </w:p>
        </w:tc>
      </w:tr>
    </w:tbl>
    <w:p>
      <w:pPr>
        <w:pStyle w:val="TextBody"/>
        <w:bidi w:val="0"/>
        <w:spacing w:before="0" w:after="0"/>
        <w:ind w:left="0" w:right="0" w:hanging="0"/>
        <w:jc w:val="left"/>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05"/>
        <w:gridCol w:w="200"/>
        <w:gridCol w:w="6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introduction of new products or technologies offered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105"/>
        <w:gridCol w:w="200"/>
        <w:gridCol w:w="4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effectiveness of our licensees’ commercialization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05"/>
        <w:gridCol w:w="200"/>
        <w:gridCol w:w="9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perception of the pharmaceutical industry by the public, legislatures, regulators, and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05"/>
        <w:gridCol w:w="200"/>
        <w:gridCol w:w="5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or anticipated variations in quarterly operating results;</w:t>
            </w:r>
          </w:p>
        </w:tc>
      </w:tr>
    </w:tbl>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05"/>
        <w:gridCol w:w="200"/>
        <w:gridCol w:w="72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failure to meet or exceed the estimates and projections of the investment community;</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overall performance of the U.S. equity markets and general political and economic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announcements of significant acquisitions, strategic partnerships,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05"/>
        <w:gridCol w:w="200"/>
        <w:gridCol w:w="44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additions or departures of key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adverse market reaction to any indebtedness we may incur or securities we may issue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of our common stock by us or our stockholders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5"/>
        <w:gridCol w:w="200"/>
        <w:gridCol w:w="3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105"/>
        <w:gridCol w:w="200"/>
        <w:gridCol w:w="7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increases in our common stock available for sale upon expiration of lock-up agreements;</w:t>
            </w:r>
          </w:p>
        </w:tc>
      </w:tr>
    </w:tbl>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05"/>
        <w:gridCol w:w="200"/>
        <w:gridCol w:w="70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effects of natural or man-made catastrophic events or other business interruptions; and</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05"/>
        <w:gridCol w:w="200"/>
        <w:gridCol w:w="5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events or factors, many of which are beyond our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stock of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us or fail to publish reports on us regularly, we could lose visibility in the financial markets, which might cause our stock price and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equity securities, convertible securities or other securities could result in additional dilution of the percentage ownership of holders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experience dilution upon future equity issuances, including convertible debt or equity securities we may issue in the future, the exercise of stock options to purchase common stock granted to our employee, consultants and directors, including options to purchase common stock granted under our stock option and equity incentive plans or the issuance of common stock in settlement of previously issued awards under our stock option and equity incentive plans that may vest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additional capital will be needed in the future to continue our planned operations. To raise capital, we may sell equity securities, convertible securities or other securities in one or more transactions at prices and in a manner we determine from time to time. If we sell equity securities, convertible securities or other securities current investors may be materially diluted by subsequent sales. We may also need our stockholders to authorize the issuance of additional shares of common stock under our articles of incorporation if we do not have sufficient authorized shares to raise such additional capital or issue future awards under our stock option and equity incentive plans. New investors could also gain rights, preferences, and privileges senior to those of holders of our existing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and maintain various information security processes designed to assess, identify and manage material risks from cybersecurity threats to our critical systems and information. Such processes are integrated into our overall risk management processes. For example, cybersecurity risk is addressed as a component of our enterprise risk management program and has historically been included as part of compliance reports provided to our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contractors and third-party IT vendors help assess, identify and manage our cybersecurity threats and risks by monitoring and evaluating our threat environment and risk profile using various methods including, for example: through the use of automated tools; conducting audits and threat assessments for internal and external threats; analyzing reports of threats and actors; evaluating our and our industry’s risk profile; and evaluating threats reported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 and maintain various technical, physical, and organizational measures, processes, standards and policies designed to manage and mitigate material risks from cybersecurity threats to our critical systems and information, including, for example: multi-factor authentication, encryption, anti-malware functionality, access controls and systems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third-party service providers to perform a variety of functions throughout our business, including but not limited to application providers and hosting companies. All of our critical information is hosted by a third-party service provider. Further, we also rely upon such third-party service providers to both assist us in identifying cybersecurity threats, as well as to review and notify us of any data breach on their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risks from cybersecurity threats that may materially affect us and how they may do so, see our risk factors under Part 1. Item 1A. Risk Factors in this 2025 10-K Report, including the risk factor captioned “We may not be able to maintain effective and efficient information systems or properly safeguard our information systems.” While to date we have not identified any breaches from known cybersecurity threats, including as a result of any prior cybersecurity incidents, that have materially affected or are reasonably likely to materially affect us, including our business strategy, results of operations, or financial condition, the sophistication of cybersecurity threats continues to increase, and the preventative actions we take to reduce the risk of cybersecurity incidents and protect our systems and information may be insufficient. Accordingly, no matter how well our program is designed or implemented, we will not be able to anticipate all security breaches, and we may not be able to implement effective preventive measures against such security breaches in a timely manner. We also carry cybersecurity insurance to protect the Company in the event of a cybersecurity breach and to provide resources if a cybersecurity breach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considers cybersecurity risk as part of its risk oversight function. The Audit Committee of our Board of Directors bears primary responsibility for the oversight of our cybersecurity risk. Periodically management updates our Audit Committee about various risks facing the Company, of which cybersecurity may be included.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assessment and management processes are implemented and maintained by management and IT consultants. The IT consultants have relevant expertise, experience, education and training as well as knowledge of our company’s critical systems and information technology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incident response processes are designed to escalate certain cybersecurity incidents to our chief executive officer, who would be responsible, along with third parties including our IT consultants, for assessing the materiality of, and mitigating and remediating, any cybersecurity incidents of which we are notified. In addition, our incident response processes include a procedure for reporting certain cybersecurity incidents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a fully remote environment. We have a lease in Boca Raton, Florida that includes 62,748 rentable square feet, or the full premises, of which the lease of 7,561 square feet commenced in 2018 and the lease of 55,187 square feet commenced in August of 2019, or the full premises commencement date. In June 2019, we entered into an agreement with the same lessors to lease an additional 6,536 square feet of administrative office space in the same location, pursuant to an addendum to such lease, which commenced in May 2020. The lease will expire 11 years after the full premises commencement date, unless terminated earlier in accordance with the terms of the lease. We have the option to extend the term of the lease for two additional consecutive periods of five years. The extension option is not included in the determination of the lease term as it is not reasonably certain to be exercised. The term of the lease includes escalating rent and free rent periods. We are also responsible for certain other operating costs under the lease, including electricity and utility expenses. We have sublet all of our leased property in Boca Raton as a result of shifting our business to become a pharmaceutical royalty company and terminating our employees.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i w:val="false"/>
          <w:caps w:val="false"/>
          <w:smallCaps w:val="false"/>
          <w:sz w:val="20"/>
        </w:rPr>
        <w:t>Item 3. Legal proceedings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December 31, 2025,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consolidated balance sheets, and such costs will be amortized over the remaining useful life of the patents. If we are unsuccessful in this legal proceeding, then the related capitalized legal costs for this legal proceeding and any unamortized IMVEXXY patent costs that were previously capitalized will be immediately expensed in the period in which we become aware of an unsuccessful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Mayne Pharma received the Sun Notice Letter regarding an ANDA submitted to the FDA by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 As of December 31, 2025, the litigation remains ongoing and has progressed to claim construction, which the courts determine the meaning and scope of the asserted patent claims that will govern subsequent infringement and validity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30, 2022 and per the Mayne License Agreement, Mayne Pharma is responsible for all enforcement of our patents, including the responsibility for and costs of litigation discussed above with respect to Teva and Sun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other litigations and proceedings in the ordinary course of business. We are currently not involved in any other litigations and proceedings that we believe would have a material effect on our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33"/>
      <w:bookmarkEnd w:id="10"/>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5. Market for registrant’s common equity, related stockholder matters, and issuer purchases of equity securities market information on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2017, our common stock has been listed on the Nasdaq Global Select Market (“Nasdaq”) under the symbol “TXMD.”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closing price of our common stock on Nasdaq was $1.63 per share. As of March 30, 2026, there were 58 stockholders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Exchange Act and pursuant to Instruction 6 to Item 201(e) of Regulation S-K,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not paid dividends on our common stock, and we currently do not intend to pay any dividends on our common stock in the foreseeable future. We currently plan to retain any earnings for the operation of our business rather than to pay cash dividends. Payments of any cash dividends in the future will depend on our financial condition, results of operations, and capital requirements as well as other factors deemed relevant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discussion and analysis in conjunction with the information set forth under our consolidated financial statements and the notes to those financial statements included elsewhere in this 2025 10-K Report. This discussion contains forward-looking statements based upon current expectations that involve risks and uncertainties. See “Statement Regarding Forward-Looking Information.” Our actual results may differ materially from those contained in or implied by any forward-looking statements as a result of various factors, including, but not limited to, the risks and uncertainties described under “Risk Factors” elsewhere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Management’s discussion and analysis of financial condition and results of operations may not add due to rounding, and all percentages have been calculated using unrounded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relevant territories. On December 30, 2022 (the “Closing Date”), we completed a transaction (the “Mayne Transaction”) with Mayne Pharma LLC, a Delaware limited liability company (“Mayne Pharma”) and subsidiary of Mayne Pharma Group Limited, an Australian public company (“Mayne Pharma Group”),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 Additional disclosures regarding discontinued operations are provided in Note 2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license agreements with strategic partners to commercialize IMVEXXY and BIJUVA outside of the 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the “Knight License Agreement” with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June 2019, we entered into the “Theramex License Agreement” with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05"/>
        <w:gridCol w:w="200"/>
        <w:gridCol w:w="9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of our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we changed our business to become a pharmaceutical royalty company, currently receiving royalties on products licensed to pharmaceutical organizations that possess commercial capabilities in the relevant territories. On December 30, 2022, we granted an exclusive license to commercialize IMVEXXY, BIJUVA, and prescription prenatal vitamin products sold under the BocaGreenMD and vitaMedMD brands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IMVEXXY (estradiol vaginal inserts), 4-μg and 10-μg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for the treatment of moderate-to-severe dyspareunia (vaginal pain associated with sexual activity), a symptom of vulvar and vaginal atrophy due to menopause. As part of the FDA’s approval of IMVEXXY, we committed to conduct a post-approval observational study to evaluate the risk of endometrial cancer in post-menopausal women with a uterus who use a low-dose vaginal estrogen unopposed by a progestogen.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IMVEXXY in the United States and its possessions and territories to Mayne Pharma. We also have entered into licensing agreements with third parties to market and sell IMVEXXY outside of the U.S. We entered into the Knight License Agreement, with Knight pursuant to which, we granted Knight an exclusive license to commercialize IMVEXXY in Canada and Israel. We entered into the Theramex License Agreement with Theramex pursuant to which we granted Theramex an exclusive license to commercialize IMVEXXY for human use outside of the U.S., except for Canada and Israel. In December 2024, we transferred the right to commercialize IMVEXXY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also asked the sponsors of other vaginal estrogen products to participate in the observational study. In connection with the observational study, we would have been required to provide progress reports to the FDA on an annual basis. The obligation to conduct this study was transferred to Mayne Pharma as part of the Mayne 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BIJUVA (estradiol and progesterone) capsules, 1 mg/100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the first and only FDA approved bioidentical hormone therapy combination of estradiol and progesterone in a single, oral capsule for the treatment of moderate-to-severe vasomotor symptoms (commonly known as hot flashes or flushes) due to menopause in women with a uterus.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BIJUVA in the United States and its possessions and territories to Mayne Pharma. We also have entered into the Knight License Agreement with Knight pursuant to which we granted Knight an exclusive license to commercialize BIJUVA in Canada and Israel. We have entered into the Theramex License Agreement with Theramex pursuant to which we granted Theramex an exclusive license to commercialize BIJUVA for human use outside of the U.S., except for Canada and Israel. In December 2024, we transferred the right to commercialize BIJUVA in Israel from Knight to Theramex.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ANNOVERA (segesterone acetate (“SA”) and ethinyl estradiol (“EE”) vaginal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pharmaceutical product is a one-year ring-shaped contraceptive vaginal system (“CVS”) and the first and only patient-controlled, procedure-free, reversible prescription contraceptive that can prevent pregnancy for up to a total of 13 cycles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assigned our exclusive license to commercialize ANNOVERA in the United States and its possessions and territories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Prenatal vitamin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in the United States and its possessions and territories, our prescription prenatal vitamin product lines under our vitaMedMD brand name and authorized generic formulations of some of our prescription prenatal vitamin products under our BocaGreenMD Prenatal name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the Company’s consolidated financial statements for all periods prior to the Closing Date. Assets and liabilities associated with the commercial business are classified as assets and liabilities of discontinued operations in the Company’s consolidated balance sheets. Additional disclosures regarding discontinued operations are provided in Note 2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results of our operations (in thousands):</w:t>
      </w:r>
    </w:p>
    <w:p>
      <w:pPr>
        <w:pStyle w:val="TextBody"/>
        <w:bidi w:val="0"/>
        <w:spacing w:before="0" w:after="0"/>
        <w:ind w:left="0" w:right="0" w:hanging="0"/>
        <w:jc w:val="left"/>
        <w:rPr>
          <w:caps w:val="false"/>
          <w:smallCaps w:val="false"/>
        </w:rPr>
      </w:pPr>
      <w:r>
        <w:rPr>
          <w:caps w:val="false"/>
          <w:smallCaps w:val="false"/>
        </w:rPr>
        <w:t> </w:t>
      </w:r>
    </w:p>
    <w:tbl>
      <w:tblPr>
        <w:tblW w:w="8412" w:type="dxa"/>
        <w:jc w:val="left"/>
        <w:tblInd w:w="0" w:type="dxa"/>
        <w:tblLayout w:type="fixed"/>
        <w:tblCellMar>
          <w:top w:w="0" w:type="dxa"/>
          <w:left w:w="0" w:type="dxa"/>
          <w:bottom w:w="0" w:type="dxa"/>
          <w:right w:w="0" w:type="dxa"/>
        </w:tblCellMar>
      </w:tblPr>
      <w:tblGrid>
        <w:gridCol w:w="5525"/>
        <w:gridCol w:w="90"/>
        <w:gridCol w:w="237"/>
        <w:gridCol w:w="927"/>
        <w:gridCol w:w="174"/>
        <w:gridCol w:w="125"/>
        <w:gridCol w:w="237"/>
        <w:gridCol w:w="927"/>
        <w:gridCol w:w="170"/>
      </w:tblGrid>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64"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Revenue, net:</w:t>
            </w:r>
          </w:p>
        </w:tc>
        <w:tc>
          <w:tcPr>
            <w:tcW w:w="90"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6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3,022</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927" w:type="dxa"/>
            <w:tcBorders/>
            <w:shd w:fill="CCEEFF" w:val="clear"/>
            <w:vAlign w:val="center"/>
          </w:tcPr>
          <w:p>
            <w:pPr>
              <w:pStyle w:val="TableContents"/>
              <w:bidi w:val="0"/>
              <w:spacing w:before="0" w:after="283"/>
              <w:jc w:val="right"/>
              <w:rPr/>
            </w:pPr>
            <w:r>
              <w:rPr/>
              <w:t>1,761</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6,852</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6,096</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Write-off and impairment of patents</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176</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1,268</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Depreciation &amp; amortization</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509</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7,412</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7,873</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(4,390</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Interest income, net</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142</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Sublease income</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1,847</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1,352</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Miscellaneous income</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1,748</w:t>
            </w:r>
          </w:p>
        </w:tc>
        <w:tc>
          <w:tcPr>
            <w:tcW w:w="174"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center"/>
          </w:tcPr>
          <w:p>
            <w:pPr>
              <w:pStyle w:val="TableContents"/>
              <w:bidi w:val="0"/>
              <w:spacing w:before="0" w:after="283"/>
              <w:jc w:val="right"/>
              <w:rPr/>
            </w:pPr>
            <w:r>
              <w:rPr/>
              <w:t>2,282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other income</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3,737</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3,769</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(653</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(2,343</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w:t>
            </w:r>
          </w:p>
        </w:tc>
        <w:tc>
          <w:tcPr>
            <w:tcW w:w="17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(653</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(2,312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from discontinued operations, net of income taxes</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84</w:t>
            </w:r>
          </w:p>
        </w:tc>
        <w:tc>
          <w:tcPr>
            <w:tcW w:w="17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10" w:space="0" w:color="000000"/>
            </w:tcBorders>
            <w:shd w:fill="CCEEFF" w:val="clear"/>
            <w:tcMar>
              <w:bottom w:w="28" w:type="dxa"/>
            </w:tcMar>
            <w:vAlign w:val="center"/>
          </w:tcPr>
          <w:p>
            <w:pPr>
              <w:pStyle w:val="TableContents"/>
              <w:bidi w:val="0"/>
              <w:spacing w:before="0" w:after="283"/>
              <w:jc w:val="right"/>
              <w:rPr/>
            </w:pPr>
            <w:r>
              <w:rPr/>
              <w:t>(569</w:t>
            </w:r>
          </w:p>
        </w:tc>
        <w:tc>
          <w:tcPr>
            <w:tcW w:w="174"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7" w:type="dxa"/>
            <w:tcBorders>
              <w:bottom w:val="double" w:sz="10" w:space="0" w:color="000000"/>
            </w:tcBorders>
            <w:shd w:fill="CCEEFF" w:val="clear"/>
            <w:tcMar>
              <w:bottom w:w="28" w:type="dxa"/>
            </w:tcMar>
            <w:vAlign w:val="center"/>
          </w:tcPr>
          <w:p>
            <w:pPr>
              <w:pStyle w:val="TableContents"/>
              <w:bidi w:val="0"/>
              <w:spacing w:before="0" w:after="283"/>
              <w:jc w:val="right"/>
              <w:rPr/>
            </w:pPr>
            <w:r>
              <w:rPr/>
              <w:t>(2,181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Revenue. </w:t>
      </w:r>
      <w:r>
        <w:rPr>
          <w:rFonts w:ascii="Times New Roman;Times;Serif" w:hAnsi="Times New Roman;Times;Serif"/>
          <w:b w:val="false"/>
          <w:i w:val="false"/>
          <w:caps w:val="false"/>
          <w:smallCaps w:val="false"/>
          <w:sz w:val="20"/>
        </w:rPr>
        <w:t>As part of our transformation and the Mayne License Agreement, all results associated with former commercial operations have been reflected as discontinued operations in the Company’s consolidated financial statements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$3,022 thousand in license revenue during the year ended December 31, 2025 primarily from the Mayne License Agreement, an increase of $1,261 thousand, or 71.6%, compared to $1,761 thousand in license revenue during the year ended December 31, 2024. The increase is primarily attributable to changes in sales of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w:t>
      </w:r>
      <w:r>
        <w:rPr>
          <w:rFonts w:ascii="Times New Roman;Times;Serif" w:hAnsi="Times New Roman;Times;Serif"/>
          <w:b w:val="false"/>
          <w:i w:val="false"/>
          <w:caps w:val="false"/>
          <w:smallCaps w:val="false"/>
          <w:sz w:val="20"/>
        </w:rPr>
        <w:t>General and administrative expenses for 2025 were $6,852 thousand, an increase of $756 thousand, or 12.4%, compared to $6,096 thousand for 2024. This increase was primarily attributable to higher bonus expense and increased investor relations costs in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Write-off and impairment of patents</w:t>
      </w:r>
      <w:r>
        <w:rPr>
          <w:rFonts w:ascii="Times New Roman;Times;Serif" w:hAnsi="Times New Roman;Times;Serif"/>
          <w:b w:val="false"/>
          <w:i w:val="false"/>
          <w:caps w:val="false"/>
          <w:smallCaps w:val="false"/>
          <w:sz w:val="20"/>
        </w:rPr>
        <w:t>. We recognized a $176 thousand write-off for abandoned patents and application in 2025, compared to a $1,268 thousand impairment loss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Depreciation &amp; amortization. </w:t>
      </w:r>
      <w:r>
        <w:rPr>
          <w:rFonts w:ascii="Times New Roman;Times;Serif" w:hAnsi="Times New Roman;Times;Serif"/>
          <w:b w:val="false"/>
          <w:i w:val="false"/>
          <w:caps w:val="false"/>
          <w:smallCaps w:val="false"/>
          <w:sz w:val="20"/>
        </w:rPr>
        <w:t>Depreciation and amortization expense for 2025 was $384 thousand, a decrease of $125 thousand, or 24.6%, compared to $509 thousand for 2024. This balance is entirely comprised of amortization of license rights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expenses. </w:t>
      </w:r>
      <w:r>
        <w:rPr>
          <w:rFonts w:ascii="Times New Roman;Times;Serif" w:hAnsi="Times New Roman;Times;Serif"/>
          <w:b w:val="false"/>
          <w:i w:val="false"/>
          <w:caps w:val="false"/>
          <w:smallCaps w:val="false"/>
          <w:sz w:val="20"/>
        </w:rPr>
        <w:t>Total operating expenses for 2025 were $7,412 thousand, a decrease of $461 thousand, or 5.9%, compared to $7,873 thousand for 2024. The decrease was primarily attributable to lower impairment charges recognized in 2025 compared to 2024, which was partially offset by higher bonus expense and increased costs related to investor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Loss from operations. </w:t>
      </w:r>
      <w:r>
        <w:rPr>
          <w:rFonts w:ascii="Times New Roman;Times;Serif" w:hAnsi="Times New Roman;Times;Serif"/>
          <w:b w:val="false"/>
          <w:i w:val="false"/>
          <w:caps w:val="false"/>
          <w:smallCaps w:val="false"/>
          <w:sz w:val="20"/>
        </w:rPr>
        <w:t>For 2025, we had a loss from operations of $4,390 thousand, a decrease in loss of $1,722 thousand, or 28.2%, compared to loss from operations of $6,112 thousand for 2024. This change reflects the increase in sales from licensed products and the increased efficiencies realized as a royalty-based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Other income. </w:t>
      </w:r>
      <w:r>
        <w:rPr>
          <w:rFonts w:ascii="Times New Roman;Times;Serif" w:hAnsi="Times New Roman;Times;Serif"/>
          <w:b w:val="false"/>
          <w:i w:val="false"/>
          <w:caps w:val="false"/>
          <w:smallCaps w:val="false"/>
          <w:sz w:val="20"/>
        </w:rPr>
        <w:t>In 2025, we had other income of $3,737 thousand, a decrease of $32 thousand, or 0.8%, compared to other income of $3,769 thousand in 2024. The decrease was primarily attributable to the absence of rental settlement gain and contract breakage settlements recognized in 2024, which was partially offset by the higher sublease income and increased royalty income from Mayne Pharma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Benefit for income taxes</w:t>
      </w:r>
      <w:r>
        <w:rPr>
          <w:rFonts w:ascii="Times New Roman;Times;Serif" w:hAnsi="Times New Roman;Times;Serif"/>
          <w:b w:val="false"/>
          <w:i w:val="false"/>
          <w:caps w:val="false"/>
          <w:smallCaps w:val="false"/>
          <w:sz w:val="20"/>
        </w:rPr>
        <w:t>. For 2025, no income tax benefits was recognized from continuing operations. In 2024, the Company recognized $31 thousand income tax benefits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Net loss from continuing operations</w:t>
      </w:r>
      <w:r>
        <w:rPr>
          <w:rFonts w:ascii="Times New Roman;Times;Serif" w:hAnsi="Times New Roman;Times;Serif"/>
          <w:b w:val="false"/>
          <w:i w:val="false"/>
          <w:caps w:val="false"/>
          <w:smallCaps w:val="false"/>
          <w:sz w:val="20"/>
        </w:rPr>
        <w:t>. For 2025, we had net loss from continuing operations of $653 thousand, or $0.06 per basic and diluted common share, a decrease in loss of $1,659 thousand, compared to net loss from continuing operations of $2,312 thousand, or $0.20 per basic and diluted common share,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Discontinued Operations. </w:t>
      </w:r>
      <w:r>
        <w:rPr>
          <w:rFonts w:ascii="Times New Roman;Times;Serif" w:hAnsi="Times New Roman;Times;Serif"/>
          <w:b w:val="false"/>
          <w:i w:val="false"/>
          <w:caps w:val="false"/>
          <w:smallCaps w:val="false"/>
          <w:sz w:val="20"/>
        </w:rPr>
        <w:t>For 2025, net income from discontinued operations was $84 thousand, a decrease of $47 thousand, compared to net income from discontinued operations of $131 thousand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see “Note 2. Discontinued Operations”, in the notes to the consolidated financial statements appearing elsewhere in this 2025 10-K Report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our continuing operations. We have funded our operations primarily through revenue from licensed royalties, public offerings of our common stock and private placements of equity and debt securities, and the transactions with Mayne Pharma. As of December 31, 2025, we had cash and cash equivalents totaling $7,483 thousand. We maintain cash at financial institutions that at times may exceed the Federal Deposit Insurance Corporation insured limits of $250 thousand per bank. We have never experienced any losses related to these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Mayne Pharma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Mayne Pharma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 The total consideration from Mayne Pharma to us under the Mayne License Agreement consisted of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and (iv) the right to receive the contingent consideration set forth in the Mayne License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has agreed to pay us one-time,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has agreed to pay us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has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 with Rubric Capital Management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the Subscription Agreement with Rubric, pursuant to which we agreed to sell to Rubric, or one or more of its affiliates, up to an aggregate of 5,000,000 shares of Common Stock, from time to time during the term of the Subscription Agreement in separate drawdowns at our election, at a purchase price of the five-day volume-weighted average price of our common stock at the time of the sale of such shares, at an aggregate purchase price of up to $5,000,000 (collectively, the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draw-down occurred on June 29, 2023, consisting of a sale of 312,525 shares of Common Stock at a price per share equal to $3.6797. We received gross proceeds of $1.15 million from the drawdown, before expenses. On November 15, 2023, Rubric drew an additional 877,192 shares of Common Stock at a price per share equal to $2.2761. We received gross proceeds of $2.0 million from the draw-down, before expenses. There were no draw-downs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“Going Concern” above for further discussion related to our ability to generate and obtain adequate amounts of cash to meet our liquidity needs and our plans to satisfy our such needs in the short-term and in the long-term. As a result, there is substantial doubt about our ability to continue as a going concern for the next twelve months from the issuance of the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the major categories of cash flows from continuing operations for each of the periods (in thousands).</w:t>
      </w:r>
    </w:p>
    <w:p>
      <w:pPr>
        <w:pStyle w:val="TextBody"/>
        <w:bidi w:val="0"/>
        <w:spacing w:before="0" w:after="0"/>
        <w:ind w:left="0" w:right="0" w:hanging="0"/>
        <w:jc w:val="left"/>
        <w:rPr>
          <w:caps w:val="false"/>
          <w:smallCaps w:val="false"/>
        </w:rPr>
      </w:pPr>
      <w:r>
        <w:rPr>
          <w:caps w:val="false"/>
          <w:smallCaps w:val="false"/>
        </w:rPr>
        <w:t> </w:t>
      </w:r>
    </w:p>
    <w:tbl>
      <w:tblPr>
        <w:tblW w:w="6807" w:type="dxa"/>
        <w:jc w:val="left"/>
        <w:tblInd w:w="0" w:type="dxa"/>
        <w:tblLayout w:type="fixed"/>
        <w:tblCellMar>
          <w:top w:w="0" w:type="dxa"/>
          <w:left w:w="0" w:type="dxa"/>
          <w:bottom w:w="0" w:type="dxa"/>
          <w:right w:w="0" w:type="dxa"/>
        </w:tblCellMar>
      </w:tblPr>
      <w:tblGrid>
        <w:gridCol w:w="3920"/>
        <w:gridCol w:w="90"/>
        <w:gridCol w:w="257"/>
        <w:gridCol w:w="894"/>
        <w:gridCol w:w="189"/>
        <w:gridCol w:w="136"/>
        <w:gridCol w:w="257"/>
        <w:gridCol w:w="894"/>
        <w:gridCol w:w="170"/>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3920" w:type="dxa"/>
            <w:tcBorders>
              <w:bottom w:val="single" w:sz="12" w:space="0" w:color="000000"/>
            </w:tcBorders>
            <w:tcMar>
              <w:bottom w:w="28" w:type="dxa"/>
            </w:tcMar>
            <w:vAlign w:val="center"/>
          </w:tcPr>
          <w:p>
            <w:pPr>
              <w:pStyle w:val="TableContents"/>
              <w:bidi w:val="0"/>
              <w:spacing w:before="0" w:after="283"/>
              <w:jc w:val="left"/>
              <w:rPr/>
            </w:pPr>
            <w:r>
              <w:rPr/>
              <w:t>Cash flow from continuing operations</w:t>
            </w:r>
          </w:p>
        </w:tc>
        <w:tc>
          <w:tcPr>
            <w:tcW w:w="90" w:type="dxa"/>
            <w:tcBorders/>
            <w:vAlign w:val="center"/>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89"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Net cash provided by operating activities</w:t>
            </w:r>
          </w:p>
        </w:tc>
        <w:tc>
          <w:tcPr>
            <w:tcW w:w="9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2,454</w:t>
            </w:r>
          </w:p>
        </w:tc>
        <w:tc>
          <w:tcPr>
            <w:tcW w:w="18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1,170</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Net cash used in discontinued operations</w:t>
            </w:r>
          </w:p>
        </w:tc>
        <w:tc>
          <w:tcPr>
            <w:tcW w:w="90"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4"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8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 </w:t>
            </w:r>
          </w:p>
        </w:tc>
        <w:tc>
          <w:tcPr>
            <w:tcW w:w="25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4" w:type="dxa"/>
            <w:tcBorders>
              <w:bottom w:val="single" w:sz="12" w:space="0" w:color="000000"/>
            </w:tcBorders>
            <w:tcMar>
              <w:bottom w:w="28" w:type="dxa"/>
            </w:tcMar>
            <w:vAlign w:val="center"/>
          </w:tcPr>
          <w:p>
            <w:pPr>
              <w:pStyle w:val="TableContents"/>
              <w:bidi w:val="0"/>
              <w:spacing w:before="0" w:after="283"/>
              <w:jc w:val="right"/>
              <w:rPr/>
            </w:pPr>
            <w:r>
              <w:rPr/>
              <w:t>(438</w:t>
            </w:r>
          </w:p>
        </w:tc>
        <w:tc>
          <w:tcPr>
            <w:tcW w:w="170" w:type="dxa"/>
            <w:tcBorders/>
            <w:vAlign w:val="center"/>
          </w:tcPr>
          <w:p>
            <w:pPr>
              <w:pStyle w:val="TableContents"/>
              <w:bidi w:val="0"/>
              <w:spacing w:before="0" w:after="283"/>
              <w:jc w:val="left"/>
              <w:rPr/>
            </w:pPr>
            <w:r>
              <w:rPr/>
              <w:t>)</w:t>
            </w:r>
          </w:p>
        </w:tc>
      </w:tr>
      <w:tr>
        <w:trPr/>
        <w:tc>
          <w:tcPr>
            <w:tcW w:w="3920" w:type="dxa"/>
            <w:tcBorders/>
            <w:shd w:fill="CCEEFF" w:val="clear"/>
            <w:vAlign w:val="center"/>
          </w:tcPr>
          <w:p>
            <w:pPr>
              <w:pStyle w:val="TableContents"/>
              <w:bidi w:val="0"/>
              <w:spacing w:before="0" w:after="283"/>
              <w:jc w:val="left"/>
              <w:rPr/>
            </w:pPr>
            <w:r>
              <w:rPr/>
              <w:t>Net increase in cash</w:t>
            </w:r>
          </w:p>
        </w:tc>
        <w:tc>
          <w:tcPr>
            <w:tcW w:w="90"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4" w:type="dxa"/>
            <w:tcBorders>
              <w:bottom w:val="double" w:sz="10" w:space="0" w:color="000000"/>
            </w:tcBorders>
            <w:shd w:fill="CCEEFF" w:val="clear"/>
            <w:tcMar>
              <w:bottom w:w="28" w:type="dxa"/>
            </w:tcMar>
            <w:vAlign w:val="center"/>
          </w:tcPr>
          <w:p>
            <w:pPr>
              <w:pStyle w:val="TableContents"/>
              <w:bidi w:val="0"/>
              <w:spacing w:before="0" w:after="283"/>
              <w:jc w:val="right"/>
              <w:rPr/>
            </w:pPr>
            <w:r>
              <w:rPr/>
              <w:t>2,424</w:t>
            </w:r>
          </w:p>
        </w:tc>
        <w:tc>
          <w:tcPr>
            <w:tcW w:w="189"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4" w:type="dxa"/>
            <w:tcBorders>
              <w:bottom w:val="double" w:sz="10" w:space="0" w:color="000000"/>
            </w:tcBorders>
            <w:shd w:fill="CCEEFF" w:val="clear"/>
            <w:tcMar>
              <w:bottom w:w="28" w:type="dxa"/>
            </w:tcMar>
            <w:vAlign w:val="center"/>
          </w:tcPr>
          <w:p>
            <w:pPr>
              <w:pStyle w:val="TableContents"/>
              <w:bidi w:val="0"/>
              <w:spacing w:before="0" w:after="283"/>
              <w:jc w:val="right"/>
              <w:rPr/>
            </w:pPr>
            <w:r>
              <w:rPr/>
              <w:t>732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Operating Activities from continuing operations. </w:t>
      </w:r>
      <w:r>
        <w:rPr>
          <w:rFonts w:ascii="Times New Roman;Times;Serif" w:hAnsi="Times New Roman;Times;Serif"/>
          <w:b w:val="false"/>
          <w:i w:val="false"/>
          <w:caps w:val="false"/>
          <w:smallCaps w:val="false"/>
          <w:sz w:val="20"/>
        </w:rPr>
        <w:t>Net cash provided by operating activities in 2025 was $2,454 thousand, an increase of $1,284 thousand, compared to net cash provided in operating activities of $1,170 thousand for 2024. This increase was primarily driven by the significant reduction in loss from continuing operations and favorable changes in accrued expenses and other current liabilities, partially offset by lower non-cash adjustments such decreased long-lived asset impairment charges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Financing Activities from continuing operations. </w:t>
      </w:r>
      <w:r>
        <w:rPr>
          <w:rFonts w:ascii="Times New Roman;Times;Serif" w:hAnsi="Times New Roman;Times;Serif"/>
          <w:b w:val="false"/>
          <w:i w:val="false"/>
          <w:caps w:val="false"/>
          <w:smallCaps w:val="false"/>
          <w:sz w:val="20"/>
        </w:rPr>
        <w:t>There was no cash received from financing activities for both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Net cash used in discontinued operations. </w:t>
      </w:r>
      <w:r>
        <w:rPr>
          <w:rFonts w:ascii="Times New Roman;Times;Serif" w:hAnsi="Times New Roman;Times;Serif"/>
          <w:b w:val="false"/>
          <w:i w:val="false"/>
          <w:caps w:val="false"/>
          <w:smallCaps w:val="false"/>
          <w:sz w:val="20"/>
        </w:rPr>
        <w:t>Net cash used in discontinued operations for 2025 was $30 thousand, a decrease of $408 thousand, as compared to net cash used in discontinued operations of $438 thousand for 2024. This change relates primarily to a decreased level of activities associated with our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see the consolidated statements of cash flows included in our consolidated financial statements in this 2025 10-K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liquidity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Receivable from Mayne Pharma.</w:t>
      </w:r>
      <w:r>
        <w:rPr>
          <w:rFonts w:ascii="Times New Roman;Times;Serif" w:hAnsi="Times New Roman;Times;Serif"/>
          <w:b w:val="false"/>
          <w:i w:val="false"/>
          <w:caps w:val="false"/>
          <w:smallCaps w:val="false"/>
          <w:sz w:val="20"/>
        </w:rPr>
        <w:t xml:space="preserve"> On December 30, 2022, Mayne Pharma acquired our accounts receivable balance of approximately $29.3 million which is subject to certain working capital adjustments. As of December 31, 2025, and 2024, we had a royalty receivable of $3,159 thousand and $3,327 thousand, respectively, relating to the short-term portion of royalty receivable from Mayne Pharma and $13,713 thousand and $16,010 thousand, respectively relating to the long-term portion of royalty receivable which includes royalties recognized from the Minimum Annual Royalty. See “Note 1 Business, basis of presentation, new accounting standards and summary of significant accounting policies (Revenue Recognition)”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off-balance sheet arrangements, purchase commitments and 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contractual obligations and off-balance sheet arrangements are discussed below. For additional information on any of the following and other obligations and arrangements, see “Note 7. Commitments and Contingencies”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we enter into agreements with third parties that include indemnification provisions, which, in our judgment, are normal and customary for companies in our industry sector. Pursuant to these agreements, we agree to indemnify, hold harmless, and reimburse indemnified parties for losses suffered, for which there may or may not be limitations on potential damages. The maximum potential amount of future payments we could be required to make under these indemnification provisions is sometimes unlimited. As a result, the estimated fair value of liabilities relating to these provisions is minimal. Accordingly, we had no liabilities recorded for these provisions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as set forth by accounting principles generally accepted in the United States of America (“U.S. GAAP”), an estimate is made of the loss and the appropriate accounting entries are reflected in our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commitments is in “Note 7. Commitments and contingencies”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employment agreements is in “Note 7. Commitments and contingencies”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our financial condition and results of operations are based upon our consolidated financial statements included elsewhere in this 2025 10-K Report, which has been prepared in accordance with U.S. GAAP.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identifiable intangible assets, certain accrued liabilities, and income taxes.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the areas described below as critical to our business operations and the understanding of our results of operations given the uncertainties associated with the assumptions underlying each estimate. For a detailed discussion on the application of these and other significant accounting policies, see “Note 1. Basis of presentation, new accounting standards and summary of significant accounting policies”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comprise activities that were disposed of at the end of the period, represent a separate major line of business that can be clearly distinguished for operational and financial reporting purposes and represent a business shift having a major effect on the Company’s operations and financial results according to Accounting Standard Codification (“ASC”) Topic 205, Presentation of Financial Statements. In 2022, we started classifying commercial activities as discontinued operations due to the cessation of these operations. For additional information, see “Note 2. Discontinued Operations”, in the notes to the consolidated financial statements appearing elsewhere in this 2025 10-K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Loss contingencies – Mayne Pharma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arrangements may consist of non-refundable upfront license fees, exclusive licensed rights to patented or patent pending technology, and various performance or sales milestones and future product royalty payments. Some of these arrangements may include multiple performance obligations. Non-refundable up-front fees that are not contingent on any future performance by us, and do not require continuing involvement on our part, are recognized as revenue when the right to use functional intellectual property is transferred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closed a License Agreement with Mayne Pharma pursuant to which we sold to Mayne Pharma the exclusive license rights in our product ANNOVERA and granted an exclusive license in other products, including IMVEXXY and BIJUVA. Under the terms of the License Agreement, we received $140 million at closing and we are eligible to receive additional payments in the aggregate of up to an additional $30 million based on the achievement of sales milestones (collectively, the “Milestone Amounts”). The proceeds at closing were allocated between consideration for the sale of ANNOVERA and the initial license fee for the Licensed Products, as the sale of ANNOVERA was accounted for under ASC 610-20, Gains and Losses from Derecognition of Nonfinancial Assets in arriving at the gain on disposal (see Note 2 to the consolidated financial statements included in this 2025 10-K Report), while the license grant of the other products were recognized under the provisions of ASC 606, Revenue from Contracts with Customers, as a license of functional intellectual asset. The proceeds were allocated among the Licensed Products on the relative net present value of forecasted future product sales from those products. The Milestone Amounts will be recognized, as applicable, in subsequent periods based on actual product sales that exceed the respective net sales milestones as such variable consideration is constrained by the occurrence of the subsequent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royalty revenue recognized in 2025 and 2024 primarily related to royalties provided for under the Mayne License Agreement based on Mayne Pharma’s sales of the Licensed Products subject to that agreement. Under the Mayne License Agreement, the Company is entitled to earn royalties on net sales of all of the Licensed Products at a royalty rate of (i) 8% on the first $80 million of net sales of the Licensed Products and (ii) 7.5% on net sales of all of the Licensed Products after the first $80 million of net sales. The royalty rate is subject to a 2% reduction upon the earlier to occur of (i) the expiration or revocation of the last valid claim covering a Licensed Product, and (ii) a generic product launch (a “LOE”). We are entitled to minimum annual royalties beginning with the year ending December 31, 2023 ($3 million annual minimum) and continuing with 3% annual increases through the year ending December 31, 2034 (the “Minimum Annual Royalty”). The Minimum Annual Royalty originally totaled $42.6 million, and this total amount was allocated among the Licensed Products on the relative net present value of forecasted future product sales from those products. The portion allocated to consideration for the sale of ANNOVERA was attributed towards the gain on disposal of that asset. For the remaining portion allocated to the license grants for the other products, we determined that the minimum guarantee underlying the Minimum Annual Royalty should be treated as fixed consideration and recognized under ASC 606 at the point in time when the license was transferred. Since the Minimum Annual Royalty will be received in annual installments through 2034, we determined the transaction price allocated under ASC 606 contained a significant financing component, and we therefore determined the initial royalty revenue and corresponding receivable based on the present value of the allocated Minimum Annual Royalty. The present value was calculated using a discount rate of 10.45%, based on the credit characteristics of Mayne Pharma and the timing of future payments, and the value will be accreted to full value through the earlier of January 1, 2034 or a LOE. This royalty receivable is a contract asset as of December 31, 2025, and is further subject to offset by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revenue earned in excess of the Minimum Annual Royalty will be recognized under ASC 606, which provides revenue recognition constraints by requiring the recognition of revenue at the later of the following: 1) when the subsequent sale occurs or 2) when the performance obligation to which some or all of the sales-based royalty has been allocated has been satisfied (or partially satisfied). We applied the royalty recognition constraint required under the guidance for sales-based royalties, which requires a sales-based royalty to be recorded no sooner than the underlying sale. Therefore, royalties on sales of products commercialized by Mayne Pharma will be recognized in the subsequent periods that the Licensed Products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discussion on revenue, see “I. Revenue recognition” in “Note 1. Basis of presentation, new accounting standards and summary of significant accounting policies” to the consolidated financial statements included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accounting standards issued or effective in 2025 is included in “Note 1. Basis of Presentation, New Accounting Standards and Significant Accounting Policies”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Exchange Act, and pursuant to Instruction 6 to Item 201(e) of Regulation S-K, we are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financial statements, the notes thereto, and the report thereon, commencing on page F-1 of this 2025 10-K Report, which financial statements, notes, and reports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 xml:space="preserve">Item 9. Change in and disagreements with accountants on accounting and financial disclosure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evaluated the effectiveness of our disclosure controls and procedures (as defined in the Exchange Act Rules 13a-15(e) or 15d-15(e)) as of the end of the period covered by this 2025 10-K Report. Based on that evaluation, our Principal Executive Officer and Principal Financial and Accounting Officer concluded that, as of December 31, 2025, our disclosure controls and procedures were effective to ensure that information required to be disclosed by us in the reports we file or submit under the Exchange Act is (i) recorded, processed, summarized, and reported within the time periods specified in the SEC rules and forms, and (ii) is accumulated and communicated to our management, including our Principal Executive Officer and Principal Financial and Accounting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change in our internal control over financial reporting during our most recent fiscal quarter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Inherent limitations on effectiveness of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Further, internal controls may become inadequate because of changes in conditions, or through the deterioration of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under Exchange Act Rules 13a-15(f) and 15d-15(f). Our internal control over financial reporting is a process designed to provide reasonable assurance regarding the reliability of financial reporting and the preparation of financial statements for external purposes in accordance with U.S. GAAP. Internal control over financial reporting includes those policies and procedures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the transactions and dispositions of our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reasonable assurance regarding prevention or timely detection of unauthorized acquisition, use, or disposition of our assets that could have a material effect on the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assessed the effectiveness of our internal control over financial reporting as of December 31, 2025. In making this assessment, our management used the criteria set forth by the Committee of Sponsoring Organizations of the Treadway Commission (COSO) in Internal Control — Integrated Framework (2013). Management’s assessment included an evaluation of the design of our internal control over financial reporting and testing of the operational effectiveness of its internal control over financial reporting. Based on management’s assessment, we believe that our internal controls over financial reporting were effective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2025 10-K Report does not include an attestation report of the Company’s registered public accounting firm regarding internal control over financial reporting. Management’s report was not subject to attestation by the Company’s registered public accounting firm pursuant to the rules of the SEC that permit the Company to provide only management’s report in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6"/>
      <w:bookmarkEnd w:id="18"/>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7"/>
      <w:bookmarkEnd w:id="19"/>
      <w:r>
        <w:rPr>
          <w:rFonts w:ascii="Times New Roman;Times;Serif" w:hAnsi="Times New Roman;Times;Serif"/>
          <w:b/>
          <w:i w:val="false"/>
          <w:caps w:val="false"/>
          <w:smallCaps w:val="false"/>
          <w:sz w:val="20"/>
        </w:rPr>
        <w:t xml:space="preserve">Item 9C. Disclosure regarding foreign jurisdictions that prevent inspections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8"/>
      <w:bookmarkEnd w:id="20"/>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t_001"/>
      <w:bookmarkEnd w:id="21"/>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current directors of the Company.</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2015"/>
        <w:gridCol w:w="90"/>
        <w:gridCol w:w="380"/>
        <w:gridCol w:w="90"/>
        <w:gridCol w:w="2195"/>
      </w:tblGrid>
      <w:tr>
        <w:trPr/>
        <w:tc>
          <w:tcPr>
            <w:tcW w:w="20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Chairman of the Board </w:t>
            </w:r>
            <w:r>
              <w:rPr>
                <w:rFonts w:ascii="Times New Roman;Times;Serif" w:hAnsi="Times New Roman;Times;Serif"/>
                <w:position w:val="7"/>
                <w:sz w:val="16"/>
                <w:sz w:val="20"/>
              </w:rPr>
              <w:t>(2)</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 C. Collins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r>
              <w:rPr>
                <w:rFonts w:ascii="Times New Roman;Times;Serif" w:hAnsi="Times New Roman;Times;Serif"/>
                <w:position w:val="7"/>
                <w:sz w:val="16"/>
                <w:sz w:val="20"/>
              </w:rPr>
              <w:t>(1)(2)</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Gail K.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w:t>
            </w:r>
          </w:p>
        </w:tc>
        <w:tc>
          <w:tcPr>
            <w:tcW w:w="90" w:type="dxa"/>
            <w:tcBorders/>
            <w:shd w:fill="CCEEFF" w:val="clear"/>
            <w:tcMar>
              <w:bottom w:w="0" w:type="dxa"/>
            </w:tcMar>
            <w:vAlign w:val="center"/>
          </w:tcPr>
          <w:p>
            <w:pPr>
              <w:pStyle w:val="TableContents"/>
              <w:bidi w:val="0"/>
              <w:spacing w:before="0" w:after="283"/>
              <w:jc w:val="left"/>
              <w:rPr/>
            </w:pPr>
            <w:r>
              <w:rPr/>
              <w:t> </w:t>
            </w:r>
          </w:p>
        </w:tc>
        <w:tc>
          <w:tcPr>
            <w:tcW w:w="21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r>
              <w:rPr>
                <w:rFonts w:ascii="Times New Roman;Times;Serif" w:hAnsi="Times New Roman;Times;Serif"/>
                <w:position w:val="7"/>
                <w:sz w:val="16"/>
                <w:sz w:val="20"/>
              </w:rPr>
              <w:t>(1)</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H. Roberts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9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Director </w:t>
            </w:r>
            <w:r>
              <w:rPr>
                <w:rFonts w:ascii="Times New Roman;Times;Serif" w:hAnsi="Times New Roman;Times;Serif"/>
                <w:position w:val="7"/>
                <w:sz w:val="16"/>
                <w:sz w:val="20"/>
              </w:rPr>
              <w:t>(1)(2)</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90"/>
        <w:gridCol w:w="350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of the Compensation Committee.</w:t>
            </w:r>
          </w:p>
        </w:tc>
      </w:tr>
    </w:tbl>
    <w:tbl>
      <w:tblPr>
        <w:tblW w:w="3115" w:type="dxa"/>
        <w:jc w:val="left"/>
        <w:tblInd w:w="0" w:type="dxa"/>
        <w:tblLayout w:type="fixed"/>
        <w:tblCellMar>
          <w:top w:w="0" w:type="dxa"/>
          <w:left w:w="0" w:type="dxa"/>
          <w:bottom w:w="0" w:type="dxa"/>
          <w:right w:w="0" w:type="dxa"/>
        </w:tblCellMar>
      </w:tblPr>
      <w:tblGrid>
        <w:gridCol w:w="290"/>
        <w:gridCol w:w="28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Member of the Audit Committee.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5"/>
        <w:gridCol w:w="90"/>
        <w:gridCol w:w="8890"/>
      </w:tblGrid>
      <w:tr>
        <w:trPr/>
        <w:tc>
          <w:tcPr>
            <w:tcW w:w="122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TOMMY G. THOMPSON</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of the Board</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84</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tc>
        <w:tc>
          <w:tcPr>
            <w:tcW w:w="90" w:type="dxa"/>
            <w:tcBorders/>
            <w:vAlign w:val="center"/>
          </w:tcPr>
          <w:p>
            <w:pPr>
              <w:pStyle w:val="TableContents"/>
              <w:bidi w:val="0"/>
              <w:spacing w:before="0" w:after="283"/>
              <w:ind w:left="0" w:right="0" w:hanging="0"/>
              <w:jc w:val="left"/>
              <w:rPr/>
            </w:pPr>
            <w:r>
              <w:rPr/>
              <w:t> </w:t>
            </w:r>
          </w:p>
        </w:tc>
        <w:tc>
          <w:tcPr>
            <w:tcW w:w="8890"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Tommy G. Thompson has served as a director of our Company since May 2012 and as the Chairman of the Board of Directors since March 2024. He previously served as the Chairman of the Board of Directors from May 2012 until September 2022 and as Executive Chairman of the Board from September 2022 until March 2024. From July 2020 until March 2022, Secretary Thompson served as the Interim President of the University of Wisconsin system. Secretary Thompson also serves as the Chief Executive Officer of Thompson Holdings, a consulting firm. As the Governor of Wisconsin from January 1987 to February 2001, Secretary Thompson was perhaps best known for his efforts to revitalize the Wisconsin economy, for his national leadership on welfare reform, and for his work toward expanding healthcare access across all segments of society. As the former Secretary of the U.S. Department of Health &amp; Human Services, or HHS, from February 2001 to January 2005, Secretary Thompson served as the nation’s leading advocate for the health and welfare of all Americans. Secretary Thompson was a partner in the law firm of Akin Gump Strauss Hauer &amp; Feld LLP, or Akin Gump, from March 2005 to January 2012, when he resigned to run for the United States Senate. Secretary Thompson served as an Independent Chairman of the Deloitte Center for Health Solutions, a healthcare consulting company, from March 2005 to May 2009. At the Deloitte Center for Health Solutions and at Akin Gump, Secretary Thompson built on his efforts at HHS to work toward developing solutions to the healthcare challenges facing American families, businesses, communities, states, and the nation as a whole. Secretary Thompson has also served as the President of Logistics Health, Inc., a provider of medical readiness and homeland security solutions, from February 2005 to January 2011. Secretary Thompson has served as a Senior Fellow for the Bipartisan Policy Center, a non -profit organization focused on bipartisan advocacy and policymaking, since July 2013. Secretary Thompson also serves as a member of the board of directors for United Therapeutics Corporation [NASDAQ: UTHR] and Healthpeak Properties, Inc. (f/k/a Physicians Realty Trust) [NYSE: DOC]. Secretary Thompson also served as a member of the boards of directors of Tyme Technologies, Inc. [NASDAQ: TYMI] from August 2017 to February 2020, Centene Corporation [NYSE: CNC] from April 2005 to January 2022 and Scilex Holding Company [NASDAQ: SCLX] from 2022 to 2023, and has historically served on the boards of directors of other public companies.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Secretary Thompson’s experience in public service and on the boards of directors of numerous public companies, particularly his services and knowledge related to the healthcare industry as a whole, makes him well suited to serve on our Board of Directors. Secretary Thompson received both his B.S. and J.D. from the University of Wisconsin-Madison.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tbl>
      <w:tblPr>
        <w:tblW w:w="6063" w:type="dxa"/>
        <w:jc w:val="left"/>
        <w:tblInd w:w="0" w:type="dxa"/>
        <w:tblLayout w:type="fixed"/>
        <w:tblCellMar>
          <w:top w:w="0" w:type="dxa"/>
          <w:left w:w="0" w:type="dxa"/>
          <w:bottom w:w="0" w:type="dxa"/>
          <w:right w:w="0" w:type="dxa"/>
        </w:tblCellMar>
      </w:tblPr>
      <w:tblGrid>
        <w:gridCol w:w="68"/>
        <w:gridCol w:w="155"/>
        <w:gridCol w:w="584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jc w:val="left"/>
              <w:rPr>
                <w:position w:val="8"/>
                <w:sz w:val="19"/>
              </w:rPr>
            </w:pPr>
            <w:r>
              <w:rPr>
                <w:position w:val="8"/>
                <w:sz w:val="19"/>
              </w:rPr>
              <w:t>1</w:t>
            </w:r>
          </w:p>
          <w:p>
            <w:pPr>
              <w:pStyle w:val="TableContents"/>
              <w:bidi w:val="0"/>
              <w:spacing w:before="0" w:after="283"/>
              <w:jc w:val="left"/>
              <w:rPr>
                <w:position w:val="8"/>
                <w:sz w:val="19"/>
              </w:rPr>
            </w:pPr>
            <w:r>
              <w:rPr>
                <w:position w:val="8"/>
                <w:sz w:val="19"/>
              </w:rPr>
              <w:t> </w:t>
            </w:r>
          </w:p>
        </w:tc>
        <w:tc>
          <w:tcPr>
            <w:tcW w:w="5840" w:type="dxa"/>
            <w:tcBorders/>
            <w:vAlign w:val="center"/>
          </w:tcPr>
          <w:p>
            <w:pPr>
              <w:pStyle w:val="TableContents"/>
              <w:bidi w:val="0"/>
              <w:spacing w:before="0" w:after="283"/>
              <w:jc w:val="both"/>
              <w:rPr/>
            </w:pPr>
            <w:r>
              <w:rPr/>
              <w:t>NTD: Biographies to be confirmed per D&amp;O questionnaires.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8"/>
        <w:gridCol w:w="90"/>
        <w:gridCol w:w="8747"/>
      </w:tblGrid>
      <w:tr>
        <w:trPr/>
        <w:tc>
          <w:tcPr>
            <w:tcW w:w="1368"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 C. COLLINS</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2012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47</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747"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 has served as a director of our Company since February 2012. Mr. Collins has served as Chief Executive Officer of Fortis BioPharma LLC since June 2015. Mr. Collins served as Chief Strategy Officer of Pernix Therapeutics Holdings, Inc. [NASDAQ: PTX], or Pernix, from May 2013 until April 2014, as its President and Chief Executive Officer from March 2010 until May 2013, and as a director from March 2010 until February 2014.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Collins joined Pernix Therapeutics, Inc., a predecessor of Pernix, in 2002, where he was appointed as a director in January 2007, its President in December 2007 and its Chief Executive Officer in June 2008, serving in those three capacities until March 2010. From December 2005 to December 2007, Mr. Collins served as Vice President of Business and Product Development of Pernix Therapeutics, Inc. and as its Territory Manager from December 2003 to December 2005. Mr. Collins was employed for three years by the National Football League franchise, the New Orleans Saints, in its media relations department.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Collins’ specialty pharmaceutical company knowledge and executive experience provide the requisite qualifications, skills, perspectives, and experience that make him well qualified to serve on our Board of Directors. While on a football scholarship, Mr. Collins received a B.A. from Nicholls State University, where he later received an M.B.A.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12"/>
        <w:gridCol w:w="90"/>
        <w:gridCol w:w="8803"/>
      </w:tblGrid>
      <w:tr>
        <w:trPr/>
        <w:tc>
          <w:tcPr>
            <w:tcW w:w="1312"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GAIL K. NAUGHTON, PH.D. </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2020</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70</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ind w:left="0" w:right="0" w:hanging="0"/>
              <w:jc w:val="left"/>
              <w:rPr/>
            </w:pPr>
            <w:r>
              <w:rPr/>
              <w:t> </w:t>
            </w:r>
          </w:p>
        </w:tc>
        <w:tc>
          <w:tcPr>
            <w:tcW w:w="880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Gail K. Naughton, Ph.D. has served as a director of our Company since March 2020. Dr. Naughton has served as the Chief Scientific Officer and Chief Business Development Officer of Histogen, a company she founded that is focused on the development of novel solutions based on the products of cells grown under simulated embryonic conditions, since April 2017. Dr. Naughton served as the Chairman and Chief Executive Officer of Histogen from June 2007 until April 2017. Prior to Histogen, Dr. Naughton was the Vice Chairman of Advanced Tissue Sciences, Inc., a human-based tissue engineering company, from March 2002 to October 2002, President from August 2000 to March 2002, President and Chief Operating Officer from 1995 to 2000 and Executive Vice President, Chief Operating Officer from 1991 to 1995. Dr. Naughton also served as Dean of the College of Business Administration at San Diego State University from August 2002 to June 2011. She has spent over 30 years extensively researching the tissue engineering process, holds over 105 U.S. and foreign patents, and has founded two regenerative medicine companies. Dr. Naughton has brought several tissue engineered products to market including a product for severe burns (TransCyte), a dermal replacement for diabetic ulcers (Dermagraft), an aesthetic dermal filler (Cosmederm/Cosmeplast), and SkinMedica’s TNS product for skin care. Dr. Naughton has been extensively published and a frequent speaker in the field of tissue engineering. In 2000, Dr. Naughton received the 27th Annual National Inventor of the Year award by the Intellectual Property Owners Association in honor of her pioneering work in the field of tissue engineering. Dr. Naughton previously served as a member of several public company boards of directors since 1988, including Cytori Therapeutics, Inc. [NASDAQ: CYTX] from July 2014 until January 2018 and CEL-SCI Corporation [NYSE American: CVM] from August 2022 until April 2024.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Dr. Naughton’s extensive executive experience, her in-depth knowledge of the healthcare industry and regenerative medicine technology, her experience developing FDA-approved products, and her service on other public company boards and committees, provide the requisite qualifications, skills, perspectives, and experience that make her well qualified to serve on our Board of Directors. Dr. Naughton received her B.S. in Biology from St. Francis College, her M.S. in Histology and her Ph.D. in Hematology from the New York University Medical Center and her E.M.B.A. from UCLA.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2"/>
        <w:gridCol w:w="90"/>
        <w:gridCol w:w="8743"/>
      </w:tblGrid>
      <w:tr>
        <w:trPr/>
        <w:tc>
          <w:tcPr>
            <w:tcW w:w="1372"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JUSTIN ROBERTS</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 Since:</w:t>
            </w:r>
            <w:r>
              <w:rPr>
                <w:rFonts w:ascii="Times New Roman;Times;Serif" w:hAnsi="Times New Roman;Times;Serif"/>
                <w:b w:val="false"/>
                <w:i w:val="false"/>
                <w:caps w:val="false"/>
                <w:smallCaps w:val="false"/>
                <w:sz w:val="20"/>
              </w:rPr>
              <w:t xml:space="preserve"> 2022</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Age: </w:t>
            </w:r>
            <w:r>
              <w:rPr>
                <w:rFonts w:ascii="Times New Roman;Times;Serif" w:hAnsi="Times New Roman;Times;Serif"/>
                <w:b w:val="false"/>
                <w:i w:val="false"/>
                <w:caps w:val="false"/>
                <w:smallCaps w:val="false"/>
                <w:sz w:val="20"/>
              </w:rPr>
              <w:t>43</w:t>
            </w:r>
          </w:p>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w:t>
            </w:r>
          </w:p>
        </w:tc>
        <w:tc>
          <w:tcPr>
            <w:tcW w:w="90" w:type="dxa"/>
            <w:tcBorders/>
            <w:vAlign w:val="center"/>
          </w:tcPr>
          <w:p>
            <w:pPr>
              <w:pStyle w:val="TableContents"/>
              <w:bidi w:val="0"/>
              <w:spacing w:before="0" w:after="283"/>
              <w:jc w:val="left"/>
              <w:rPr/>
            </w:pPr>
            <w:r>
              <w:rPr/>
              <w:t> </w:t>
            </w:r>
          </w:p>
        </w:tc>
        <w:tc>
          <w:tcPr>
            <w:tcW w:w="8743"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Roberts is a Partner at Rubric, a role he has held since the formation of the company in 2016. He currently serves as a Non-Executive Director of Mereo BioPharma Group plc [NASDAQ: MREO]. Before Rubric, he spent seven years at Point72 Asset Management. Mr. Roberts has also held roles at ZS Associates, Moore Capital Management, and began his career at Lehman Brothers as an investment banker in their M&amp;A practice.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Qualifications and Experience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Mr. Roberts’ extensive executive experience, his finance background, and his service on other public company boards and committees, provide the requisite qualifications, skills, perspectives, and experience that make him well qualified to serve on our Board of Directors. Mr. Roberts graduated with honors from Johns Hopkins University.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our current executive officers:</w:t>
      </w:r>
    </w:p>
    <w:p>
      <w:pPr>
        <w:pStyle w:val="TextBody"/>
        <w:bidi w:val="0"/>
        <w:spacing w:before="0" w:after="0"/>
        <w:ind w:left="0" w:right="0" w:hanging="0"/>
        <w:jc w:val="left"/>
        <w:rPr>
          <w:caps w:val="false"/>
          <w:smallCaps w:val="false"/>
        </w:rPr>
      </w:pPr>
      <w:r>
        <w:rPr>
          <w:caps w:val="false"/>
          <w:smallCaps w:val="false"/>
        </w:rPr>
        <w:t> </w:t>
      </w:r>
    </w:p>
    <w:tbl>
      <w:tblPr>
        <w:tblW w:w="5655" w:type="dxa"/>
        <w:jc w:val="left"/>
        <w:tblInd w:w="0" w:type="dxa"/>
        <w:tblLayout w:type="fixed"/>
        <w:tblCellMar>
          <w:top w:w="0" w:type="dxa"/>
          <w:left w:w="0" w:type="dxa"/>
          <w:bottom w:w="28" w:type="dxa"/>
          <w:right w:w="0" w:type="dxa"/>
        </w:tblCellMar>
      </w:tblPr>
      <w:tblGrid>
        <w:gridCol w:w="1505"/>
        <w:gridCol w:w="90"/>
        <w:gridCol w:w="380"/>
        <w:gridCol w:w="90"/>
        <w:gridCol w:w="3590"/>
      </w:tblGrid>
      <w:tr>
        <w:trPr/>
        <w:tc>
          <w:tcPr>
            <w:tcW w:w="15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5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5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are biographical descriptions of our current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Walker has served as Chief Executive Officer of our Company since December 2022. Previously he served as General Counsel of our Company from March 2016. Mr. Walker previously also served as Chief Development Officer from April 2018 to December 2019 and as our Corporate and Intellectual Property Counsel from June 2013 until he became our General Counsel. Mr. Walker’s experience is focused in management of legal issues and risk in the life science industries across a variety of disciplines. His legal practice prior to his time at TherapeuticsMD included long-term portfolio strategy and management, patent preparation and prosecution, contract negotiation and drafting, life-cycle management, and Hatch-Waxman matters. After law school, he took a position at Greenberg Traurig, LLP in August 2005. In March of 2009, he moved to Luce Forward Hamilton &amp; Scripps. Mr. Walker accepted an in-house position as Intellectual Property Counsel for Medicis Pharmaceutical Corp. in June 2011, which was acquired by Valeant Pharmaceutical International, Inc. in December 2012. In February 2013, Mr. Walker accepted a position at Kilpatrick Townsend &amp; Stockton, but chose to move in-house again in June 2013, when he accepted a position at our Company. Mr. Walker graduated from Arizona State University Sandra Day O’Connor College of Law with his J.D. in 2004, and an L.L.M. in Intellectual Property Law at The George Washington University Law School in 2005. He holds a Master’s Degree in Molecular Biology and a B.S. degree, both earned from Brigham Young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Ziegler has served as Principal Financial and Accounting Officer of our Company since August 2023 and has served as founder and chief executive officer of JZ Advisory Group, a consulting company largely focused on providing fractional CFO and outsourced accounting services to middle-market and entrepreneurial businesses, since January 2022. He previously served as the Chief Financial Officer of DAS Health, a private equity owned provider of IT Services to healthcare providers, from April 2021 to December 2021 and as the Chief Financial Officer of Encompass Onsite, a provider of end-to-end property solutions, from November 2018 to February 2021. Prior to joining Encompass Onsite, he held multiple roles as a CFO in the healthcare industry, including private equity backed specialty pharmacy Biomatrix and Novis Pharmaceuticals. Mr. Ziegler served as a director of Progressive Care Inc. from December 2021 until December 2024. He earned his B.S. in Finance and an M.B.A. from Florida Atlantic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CORPORATE GOVERNANCE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October 9, 2017, our common stock has been listed on the Nasdaq Global Select Market of the Nasdaq Stock Market LLC, or Nasdaq, under the symbol “TXMD.” From April 23, 2013 to October 6, 2017, our common stock was listed on the NYSE American under the symbol “TXMD.” Under the rules of Nasdaq, independent directors must comprise a majority of a listed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affirmatively determined, after considering all the relevant facts and circumstances, that each of Dr. Gail Naughton, and Messrs. Tommy G. Thompson, Cooper C. Collins and Justin Roberts is an independent director, as “independence” is defined under the applicable rules and regulations of the SEC and the listing standards of Nasdaq, and does not have a relationship with us (either directly or as a partner, stockholder, or officer of an organization that has a relationship with us) that would interfere with their exercise of independent judgment in carrying out their responsibilities as directors. Accordingly, a majority of our directors are independent, as required under the applicable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is related by blood, marriage, or adoption to any director, executive officer or person chosen to become a director or executive officer. No arrangements or understandings exist between any director and any other person pursuant to which such person was selected as a director. Further, there are no legal proceedings to which any director is a party adverse to us or any of our subsidiaries or in which any such person has a material interest adverse to us or any of our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 Charters, Corporate Governance, and Code of Ethics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charters for the Audit and Compensation Committees describing the authority and responsibilities delegated to each committee by our Board of Directors. Our Board of Directors has also adopted Corporate Governance Guidelines, a Code of Conduct and Ethics, and a Code of Ethics for the Chief Executive Officer and senior financial officers of our Company. We post on our website, at </w:t>
      </w:r>
      <w:r>
        <w:rPr>
          <w:rFonts w:ascii="Times New Roman;Times;Serif" w:hAnsi="Times New Roman;Times;Serif"/>
          <w:b w:val="false"/>
          <w:i/>
          <w:caps w:val="false"/>
          <w:smallCaps w:val="false"/>
          <w:sz w:val="20"/>
        </w:rPr>
        <w:t>www.therapeuticsmd.com</w:t>
      </w:r>
      <w:r>
        <w:rPr>
          <w:rFonts w:ascii="Times New Roman;Times;Serif" w:hAnsi="Times New Roman;Times;Serif"/>
          <w:b w:val="false"/>
          <w:i w:val="false"/>
          <w:caps w:val="false"/>
          <w:smallCaps w:val="false"/>
          <w:sz w:val="20"/>
        </w:rPr>
        <w:t>: the charters of our Audit and Compensation Committees; our Corporate Governance Guidelines, Code of Conduct and Ethics, and Code of Ethics for the Chief Executive Officer and senior financial officers, and any amendments or waivers thereto; and any other corporate governance materials contemplated by the SEC or Nasdaq. These documents are also available in print to any stockholder requesting a copy in writing from our corporate secretary at our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Executive Sessions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schedule executive sessions in which non-employee directors will meet without the presence or participation of management, with at least one of such sessions including only independent directors. Mr. Thompson, as the Chairman of our Board of Directors, chairs the 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Committees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an Audit Committee and a Compensation Committee, each consisting entirely of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small size of our Board of Directors and the desire to involve the entire Board of Directors in nominating decisions, we have elected to no longer have a separate Nominating Committee. Since we do not have a Nominating Committee, our independent directors, who currently constitute all of the Board of Directors, determine the director nominees. Our Board of Directors may employ a variety of methods for identifying and evaluating director nominees. If vacancies are anticipated or arise, our Board of Directors considers various potential candidates who may come to their attention through current Board members, professional search firms, stockholders or other persons. These candidates may be evaluated by our Board of Directors at any time during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a director candidate, our Board of Directors will review their qualifications including capability, availability to serve, conflicts of interest, general understanding of business, understanding of our business and technology, educational and professional background, personal accomplishments and other relevant factors. Our Board of Directors has not established any specific qualification standards for director nominees, and we do not have a formal diversity policy relating to the identification and evaluation of nominees for director, although from time to time the Board of Directors may identify certain skills or attributes as being particularly desirable to help meet specific needs that have arisen. Our Board of Directors may also interview prospective nominees in person or by telephone. After completing this evaluation, the Board of Directors will determine the nominees. The Board has not adopted a formal process for considering director candidates who may be recommended by stockholders. However, our policy is to give due consideration to any and all such candidates.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5"/>
        <w:gridCol w:w="90"/>
        <w:gridCol w:w="9080"/>
      </w:tblGrid>
      <w:tr>
        <w:trPr/>
        <w:tc>
          <w:tcPr>
            <w:tcW w:w="102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 Committee Members</w:t>
            </w:r>
          </w:p>
        </w:tc>
      </w:tr>
      <w:tr>
        <w:trPr/>
        <w:tc>
          <w:tcPr>
            <w:tcW w:w="10205" w:type="dxa"/>
            <w:gridSpan w:val="3"/>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Cooper C. Collins, </w:t>
            </w:r>
            <w:r>
              <w:rPr>
                <w:rFonts w:ascii="Times New Roman;Times;Serif" w:hAnsi="Times New Roman;Times;Serif"/>
                <w:b w:val="false"/>
                <w:i/>
                <w:caps w:val="false"/>
                <w:smallCaps w:val="false"/>
                <w:sz w:val="20"/>
              </w:rPr>
              <w:t>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Roberts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Tommy G. Thompson</w:t>
            </w:r>
          </w:p>
        </w:tc>
        <w:tc>
          <w:tcPr>
            <w:tcW w:w="9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Audit Committee is to oversee our financial and reporting processes and the audits of our financial statements and to provide assistance to our Board of Directors with respect to its oversight of the integrity of our financial statements, our Company’s compliance with legal and regulatory matters, the independent registered public accountant’s qualifications and independence, and the performance of our independent registered public accountant. The primary responsibilities of the Audit Committee are set forth in its charter and include various matters with respect to the oversight of our accounting and financial reporting process and audits of our financial statements on behalf of our Board of Directors. The Audit Committee also selects the independent registered public accountant to conduct the annual audit of our financial statements; reviews the proposed scope of such audit; reviews accounting and financial controls with the independent registered public accountant and our financial accounting staff; and reviews and approves any transactions between us and our directors, officers, and their affiliates.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currently consists of Messrs. Collins, Thompson and Roberts, each an independent director of our Company under the listing standards of Nasdaq as well as under applicable rules and regulations of the SEC, with Mr. Collins serving as Chair. Our Board of Directors has determined that Mr. Thompson (whose background is detailed above) qualifies as an “audit committee financial expert” in accordance with applicable rules and regulations of the SEC.</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Compensation Committee Members</w:t>
            </w:r>
          </w:p>
        </w:tc>
      </w:tr>
      <w:tr>
        <w:trPr/>
        <w:tc>
          <w:tcPr>
            <w:tcW w:w="10205" w:type="dxa"/>
            <w:gridSpan w:val="3"/>
            <w:tcBorders/>
            <w:vAlign w:val="center"/>
          </w:tcPr>
          <w:p>
            <w:pPr>
              <w:pStyle w:val="TableContents"/>
              <w:bidi w:val="0"/>
              <w:spacing w:before="0" w:after="283"/>
              <w:jc w:val="left"/>
              <w:rPr/>
            </w:pPr>
            <w:r>
              <w:rPr/>
              <w:t> </w:t>
            </w:r>
          </w:p>
        </w:tc>
      </w:tr>
      <w:tr>
        <w:trPr/>
        <w:tc>
          <w:tcPr>
            <w:tcW w:w="10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Gail Naughton, </w:t>
            </w:r>
            <w:r>
              <w:rPr>
                <w:rFonts w:ascii="Times New Roman;Times;Serif" w:hAnsi="Times New Roman;Times;Serif"/>
                <w:b w:val="false"/>
                <w:i/>
                <w:caps w:val="false"/>
                <w:smallCaps w:val="false"/>
                <w:sz w:val="20"/>
              </w:rPr>
              <w:t>Chair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 C. Collins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Roberts</w:t>
            </w:r>
          </w:p>
        </w:tc>
        <w:tc>
          <w:tcPr>
            <w:tcW w:w="9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purpose of the Compensation Committee includes, among other things, determining, or recommending to our Board of Directors for determination, the compensation of our Chief Executive Officer and other executive officers and directors, and discharging the responsibilities of our Board of Directors relating to our compensation programs. Pursuant to its charter, the Compensation Committee may delegate any of its responsibilities to a subcommittee comprised of one or more members of the Compensation Committee. The Compensation Committee currently consists of Dr. Naughton and Messrs. Collins and Roberts, each an independent director of our company under the listing standards of Nasdaq as well as under applicable rules and regulations of the SEC, with Dr. Naughton serving as Chair.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Board’s Role in Risk Oversight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is inherent in every business. As is the case in virtually all businesses, we face a number of risks, including operational, economic, financial, legal, regulatory, and competitive risks. Our management is responsible for the day-to-day management of the risks we face. Our Board of Directors, as a whole and through its committees, has responsibility for the oversight of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involvement in our business strategy and strategic plans plays a key role in its oversight of risk management, its assessment of management’s risk appetite, and its determination of the appropriate level of enterprise risk. Our Board of Directors receives updates at least quarterly from senior management and periodically from outside advisors regarding the various risks we face, including operational, cybersecurity and information technology, economic, financial, legal, regulatory, and competitive risks. Our Board of Directors also reviews the various risks we identify in our filings with the SEC as well as risks relating to various specific developments, such as debt and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of our Board of Directors assist our Board of Directors in fulfilling its oversight role in certain areas of risks. The Audit Committee oversees the financial and reporting processes of our Company and the audit of the financial statements of our Company and provides assistance to our Board of Directors with respect to the oversight and integrity of the financial statements of our Company, our Company’s compliance with legal and regulatory matters, the independent auditor’s qualification and independence, and the performance of our independent auditor. The Audit Committee also receives reports regarding our compliance program and our cybersecurity and information technology programs. The Compensation Committee considers the risks that our compensation policies and practices may have in attracting, retaining, and motivating valued employees and endeavors to assure that it is not reasonably likely that our compensation plans and policies would create undue risk or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Attributes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a broad range of experiences, viewpoints, educational backgrounds, skills, and other individual qualities and attributes to be represented on our Board of Directors. We believe directors should have various qualifications, including individual character and integrity; business experience and leadership ability; strategic planning skills, ability, and experience; requisite knowledge of our industry and finance, accounting, and legal matters; communications and interpersonal skills; and the ability and willingness to devote time to our Company. We also believe the skill sets, backgrounds, and qualifications of our directors, taken as a whole, should provide a significant mix of diversity in personal and professional experience, background, viewpoints, perspectives, knowledge, and abilities. Nominees are not to be discriminated against on the basis of race, religion, national origin, sex, sexual orientation, disability, or any other basis prohibited by law. The assessment of directors is made in the context of the perceived needs of our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have held high-level positions in business or professional service firms and have experience in dealing with complex issues. We believe that all of our directors are individuals of high character and integrity, are able to work well with others, and have committed to devote sufficient time to the business and affairs of our Company. In addition to these attributes, the description of each director’s background set forth above indicates the specific experience, qualifications, and skills necessary to conclude that each individual should continue to serve as a director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Leadership Structure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effective board leadership structure depends on the experience, skills, and personal interaction among persons in leadership roles as well as the needs of our Company at any point in time. We currently maintain separate roles between the Chief Executive Officer and the Chairman of the Board of Directors in recognition of the differences between the two responsibilities. Our Chief Executive Officer is responsible for setting our strategic direction and day -to-day leadership and performance of our Company. The Chairman of the Board of Directors provides input to the Chief Executive Officer, sets the agenda for board meetings, and presides over meetings of the full Board of Directors as well as executive sessions of our Board of Directors. Our Board of Directors believes that our current leadership structure provides the most effective leadership model for our Company, as it promotes balance between the Board of Directors’ independent authority to oversee our business and the Chief Executive Officer and his management team, which manage the business on a day-to-day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our fiscal year ended December 31, 2025, Dr. Naughton and Messrs. Collins and Roberts served as members of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Dr. Naughton and Messrs. Collins and Roberts have been at any time one of our officers or employees or had any relationship with us that requires disclosure under Item 404 of Regulation S-K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none of our executive officers served on the compensation committee or board of directors of any entity whose executive officers serve as a member of our Board of Directors or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Recovery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adopted a policy on recoupment of incentive compensation, or clawback policy, which provides for recoupment of compensation in certain circumstances in the event of a restatement of our financial results, in accordance with the requirements of SEC rules and Nasdaq listing standards implementing the requirement of Section 954 of the Dodd-Frank Wall Street Reform and Consumer Protection Act of 2010. A copy of our policy on recoupment of incentive compensation is incorporated by reference as Exhibit 97 to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Anti-Hedging and Anti-Pledging Policy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2020, the Board of Directors amended the Company’s Code of Conduct and Ethics to include a policy regarding hedging and pledging transactions. Pursuant to the policy, directors, officers, and employees are prohibited from: (1) directly or indirectly engaging in any hedging transactions with respect to any directly or indirectly owned securities of the Company, which includes the purchase of any financial instrument (including puts, calls, equity swaps, forward contracts, collars, exchange funds or other derivative securities) on an exchange or in any other market in order to hedge or offset any decrease in the market value of such securities; (2) engaging in short sale transactions or forward sale transactions or any short-term or speculative transactions in the Company’s securities or in other transactions in the Company’s securities that may lead to inadvertent violations of insider trading laws; and (3) pledging securities of the Company as collateral for a loan or otherwise using securities of the Company to secure a debt, including through the use of traditional margin accounts with a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2025, our Board of Directors adopted an insider trading policy that governs transactions in our securities by our directors, officers, employees and their respective family members and affiliates that we believe is reasonably designed to promote compliance with insider trading laws, rules and regulations, and applicable Nasdaq listing standards. In addition, it is our policy to comply with federal securities laws and applicable stock exchange listing standards regarding trading in our own securities. A copy of our insider trading policy is incorporated by reference as Exhibit 19 to this 2025 10-K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Board and Committee Meetings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held a total of eight meetings during the fiscal year ended December 31, 2025. No director attended fewer than 75% of the aggregate of (i) the total number of meetings of our Board of Directors and (ii) the total number of meetings held by all committees of our Board of Directors on which such director was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the Audit Committee held three meetings and the Compensation Committee held one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Meeting Attendance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our directors to attend each annual meeting of stockholders. Two of our directors virtually attended the 2025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Communications with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may communicate with our Board of Directors or specific members of our Board of Directors, including our independent directors and the members of our various board committees, by submitting a letter addressed to our Board of Directors of TherapeuticsMD, Inc. at the address set forth in this proxy statement c/o any specified individual director or directors. Any such letters are forwarded to the indicated directors. In addition, at the request of the Board of Directors, communications that do not directly relate to our Board of Directors’ duties and responsibilities as directors will be excluded from distribution. Such excluded items include, among others, “spam,” advertisements, mass mailings, form letters, and email campaigns that involve unduly large numbers of similar communications; solicitations for goods, services, employment or contributions; and surveys. Additionally, communications that appear to be unduly hostile, intimidating, threatening, illegal or similarly inappropriate will also be screened for omission. Any excluded communication will be made available to any director upon his or her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0"/>
      <w:bookmarkEnd w:id="22"/>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appointed a Compensation Committee, consisting of independent members of our Board of Directors, to review and approve corporate goals and objectives relevant to the compensation of our Chief Executive Officer, or CEO, evaluate the performance of our CEO on achieving those goals and objectives, and determine or recommend to our Board of Directors the compensation of our CEO based on this evaluation. The Compensation Committee also recommends to our Board of Directors, or as directed by our Board of Directors, determines and approves, the compensation of our other executive officers. The Compensation Committee makes every effort to ensure our executive compensation program is consistent with our values and is aligned with our business strategy and corporate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rules of the U.S. Securities and Exchange Commission permit us to omit the Compensation Discussion and Analysis section and to report the compensation of our principal executive officer, each of our two other most highly compensated executive officers who were serving at the end of our last completed fiscal year, and up to two additional former executive officers for whom disclosure would have been provided but for the fact that the individual was not serving as an executive officer at the end of our last completed fiscal year (collectively,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our NEOs were:</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105"/>
        <w:gridCol w:w="200"/>
        <w:gridCol w:w="1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Marlan Walker, CEO</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105"/>
        <w:gridCol w:w="200"/>
        <w:gridCol w:w="48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Joseph Ziegler,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employed one full-time employee primarily engaged in an executive position — Mr. Marlan Walker, our Chief Executive Officer. Mr. Ziegler serves as our Principal Financial and Accounting Officer pursuant to a master services agreement (the “Master Services Agreement”) with JZ Advisory Group (“JZ Advisory”). See “Ziegler Master Services Agreement”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2025 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compensation of our NEOs for the years provided. The following information includes the dollar value of salaries, bonus awards, the number of awards granted, non-equity incentive plan compensation, and certain other compensation, if 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89"/>
        <w:gridCol w:w="90"/>
        <w:gridCol w:w="470"/>
        <w:gridCol w:w="90"/>
        <w:gridCol w:w="90"/>
        <w:gridCol w:w="90"/>
        <w:gridCol w:w="725"/>
        <w:gridCol w:w="203"/>
        <w:gridCol w:w="90"/>
        <w:gridCol w:w="90"/>
        <w:gridCol w:w="726"/>
        <w:gridCol w:w="203"/>
        <w:gridCol w:w="90"/>
        <w:gridCol w:w="326"/>
        <w:gridCol w:w="401"/>
        <w:gridCol w:w="90"/>
        <w:gridCol w:w="90"/>
        <w:gridCol w:w="98"/>
        <w:gridCol w:w="677"/>
        <w:gridCol w:w="90"/>
        <w:gridCol w:w="90"/>
        <w:gridCol w:w="643"/>
        <w:gridCol w:w="787"/>
        <w:gridCol w:w="90"/>
        <w:gridCol w:w="90"/>
        <w:gridCol w:w="169"/>
        <w:gridCol w:w="1167"/>
        <w:gridCol w:w="203"/>
        <w:gridCol w:w="90"/>
        <w:gridCol w:w="90"/>
        <w:gridCol w:w="725"/>
        <w:gridCol w:w="143"/>
      </w:tblGrid>
      <w:tr>
        <w:trPr/>
        <w:tc>
          <w:tcPr>
            <w:tcW w:w="118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4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Bonus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7"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w:t>
            </w:r>
            <w:r>
              <w:rPr>
                <w:rFonts w:ascii="Times New Roman;Times;Serif" w:hAnsi="Times New Roman;Times;Serif"/>
                <w:b/>
                <w:position w:val="7"/>
                <w:sz w:val="16"/>
                <w:sz w:val="20"/>
              </w:rPr>
              <w:t>(1)</w:t>
            </w:r>
            <w:r>
              <w:rPr>
                <w:rFonts w:ascii="Times New Roman;Times;Serif" w:hAnsi="Times New Roman;Times;Serif"/>
                <w:b/>
                <w:sz w:val="20"/>
              </w:rPr>
              <w:t xml:space="preserve">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3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Non-Equity Incentive Plan Compensation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w:t>
            </w:r>
          </w:p>
        </w:tc>
        <w:tc>
          <w:tcPr>
            <w:tcW w:w="143" w:type="dxa"/>
            <w:tcBorders/>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Marlan D. Walker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11,137</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561,137</w:t>
            </w:r>
          </w:p>
        </w:tc>
        <w:tc>
          <w:tcPr>
            <w:tcW w:w="14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500,000</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9,174</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759,174</w:t>
            </w:r>
          </w:p>
        </w:tc>
        <w:tc>
          <w:tcPr>
            <w:tcW w:w="14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8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pPr>
            <w:r>
              <w:rPr/>
              <w:t>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283"/>
              <w:jc w:val="right"/>
              <w:rPr/>
            </w:pPr>
            <w:r>
              <w:rPr/>
              <w:t>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26" w:type="dxa"/>
            <w:tcBorders/>
            <w:tcMar>
              <w:bottom w:w="0" w:type="dxa"/>
            </w:tcMar>
            <w:vAlign w:val="center"/>
          </w:tcPr>
          <w:p>
            <w:pPr>
              <w:pStyle w:val="TableContents"/>
              <w:bidi w:val="0"/>
              <w:spacing w:before="0" w:after="283"/>
              <w:jc w:val="left"/>
              <w:rPr/>
            </w:pPr>
            <w:r>
              <w:rPr/>
              <w:t> </w:t>
            </w:r>
          </w:p>
        </w:tc>
        <w:tc>
          <w:tcPr>
            <w:tcW w:w="40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67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43" w:type="dxa"/>
            <w:tcBorders/>
            <w:tcMar>
              <w:bottom w:w="0" w:type="dxa"/>
            </w:tcMar>
            <w:vAlign w:val="center"/>
          </w:tcPr>
          <w:p>
            <w:pPr>
              <w:pStyle w:val="TableContents"/>
              <w:bidi w:val="0"/>
              <w:spacing w:before="0" w:after="283"/>
              <w:jc w:val="left"/>
              <w:rPr/>
            </w:pPr>
            <w:r>
              <w:rPr/>
              <w:t> </w:t>
            </w:r>
          </w:p>
        </w:tc>
        <w:tc>
          <w:tcPr>
            <w:tcW w:w="78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9" w:type="dxa"/>
            <w:tcBorders/>
            <w:tcMar>
              <w:bottom w:w="0" w:type="dxa"/>
            </w:tcMar>
            <w:vAlign w:val="center"/>
          </w:tcPr>
          <w:p>
            <w:pPr>
              <w:pStyle w:val="TableContents"/>
              <w:bidi w:val="0"/>
              <w:spacing w:before="0" w:after="283"/>
              <w:jc w:val="left"/>
              <w:rPr/>
            </w:pPr>
            <w:r>
              <w:rPr/>
              <w:t> </w:t>
            </w:r>
          </w:p>
        </w:tc>
        <w:tc>
          <w:tcPr>
            <w:tcW w:w="1167" w:type="dxa"/>
            <w:tcBorders/>
            <w:tcMar>
              <w:bottom w:w="0" w:type="dxa"/>
            </w:tcMar>
            <w:vAlign w:val="center"/>
          </w:tcPr>
          <w:p>
            <w:pPr>
              <w:pStyle w:val="TableContents"/>
              <w:bidi w:val="0"/>
              <w:spacing w:before="0" w:after="283"/>
              <w:jc w:val="right"/>
              <w:rPr/>
            </w:pPr>
            <w:r>
              <w:rPr/>
              <w:t> </w:t>
            </w:r>
          </w:p>
        </w:tc>
        <w:tc>
          <w:tcPr>
            <w:tcW w:w="20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pPr>
            <w:r>
              <w:rPr/>
              <w:t> </w:t>
            </w:r>
          </w:p>
        </w:tc>
        <w:tc>
          <w:tcPr>
            <w:tcW w:w="143" w:type="dxa"/>
            <w:tcBorders/>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Joseph Ziegler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14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1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4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203"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26"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6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643" w:type="dxa"/>
            <w:tcBorders/>
            <w:shd w:fill="CCEEFF" w:val="clear"/>
            <w:tcMar>
              <w:bottom w:w="0" w:type="dxa"/>
            </w:tcMar>
            <w:vAlign w:val="center"/>
          </w:tcPr>
          <w:p>
            <w:pPr>
              <w:pStyle w:val="TableContents"/>
              <w:bidi w:val="0"/>
              <w:spacing w:before="0" w:after="283"/>
              <w:jc w:val="left"/>
              <w:rPr/>
            </w:pPr>
            <w:r>
              <w:rPr/>
              <w:t> </w:t>
            </w:r>
          </w:p>
        </w:tc>
        <w:tc>
          <w:tcPr>
            <w:tcW w:w="78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9"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120,000</w:t>
            </w:r>
          </w:p>
        </w:tc>
        <w:tc>
          <w:tcPr>
            <w:tcW w:w="14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68"/>
        <w:gridCol w:w="275"/>
        <w:gridCol w:w="452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grant date fair value of options granted.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compensation paid in the fiscal year 2024 and fiscal year 2025 was related to (i) employer match to 401(k) plan of $2,000, and (ii) health and welfare benefits paid by the Company.</w:t>
            </w:r>
          </w:p>
        </w:tc>
      </w:tr>
    </w:tbl>
    <w:p>
      <w:pPr>
        <w:pStyle w:val="TextBody"/>
        <w:bidi w:val="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68"/>
        <w:gridCol w:w="275"/>
        <w:gridCol w:w="879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amounts represent the fixed fee paid to JZ Advisory in accordance with the Master Services Agreement.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amounts earned under our annual performance-targeted incentive plan, which were earned during the indicated fiscal year but portions of which may not been paid until after the end of indicated fiscal year.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set forth information with respect to outstanding equity-based awards held by our NEOs at December 31,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3"/>
        <w:gridCol w:w="90"/>
        <w:gridCol w:w="1668"/>
        <w:gridCol w:w="90"/>
        <w:gridCol w:w="252"/>
        <w:gridCol w:w="1685"/>
        <w:gridCol w:w="204"/>
        <w:gridCol w:w="204"/>
        <w:gridCol w:w="608"/>
        <w:gridCol w:w="867"/>
        <w:gridCol w:w="90"/>
        <w:gridCol w:w="90"/>
        <w:gridCol w:w="101"/>
        <w:gridCol w:w="804"/>
        <w:gridCol w:w="90"/>
        <w:gridCol w:w="90"/>
        <w:gridCol w:w="179"/>
        <w:gridCol w:w="1340"/>
        <w:gridCol w:w="140"/>
      </w:tblGrid>
      <w:tr>
        <w:trPr/>
        <w:tc>
          <w:tcPr>
            <w:tcW w:w="16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6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Option Awards</w:t>
            </w:r>
          </w:p>
        </w:tc>
        <w:tc>
          <w:tcPr>
            <w:tcW w:w="140" w:type="dxa"/>
            <w:tcBorders/>
            <w:vAlign w:val="center"/>
          </w:tcPr>
          <w:p>
            <w:pPr>
              <w:pStyle w:val="TableContents"/>
              <w:bidi w:val="0"/>
              <w:spacing w:before="0" w:after="283"/>
              <w:jc w:val="left"/>
              <w:rPr/>
            </w:pPr>
            <w:r>
              <w:rPr/>
              <w:t> </w:t>
            </w:r>
          </w:p>
        </w:tc>
      </w:tr>
      <w:tr>
        <w:trPr/>
        <w:tc>
          <w:tcPr>
            <w:tcW w:w="16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8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Securities</w:t>
              <w:br/>
              <w:t>Underlying Unexercised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rPr>
            </w:pPr>
            <w:r>
              <w:rPr>
                <w:b/>
              </w:rPr>
              <w:t>Option</w:t>
              <w:b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center"/>
              <w:rPr>
                <w:b/>
              </w:rPr>
            </w:pPr>
            <w:r>
              <w:rPr>
                <w:b/>
              </w:rPr>
              <w:t>Option</w:t>
            </w:r>
          </w:p>
        </w:tc>
        <w:tc>
          <w:tcPr>
            <w:tcW w:w="140" w:type="dxa"/>
            <w:tcBorders/>
            <w:vAlign w:val="center"/>
          </w:tcPr>
          <w:p>
            <w:pPr>
              <w:pStyle w:val="TableContents"/>
              <w:bidi w:val="0"/>
              <w:spacing w:before="0" w:after="283"/>
              <w:jc w:val="left"/>
              <w:rPr/>
            </w:pPr>
            <w:r>
              <w:rPr/>
              <w:t> </w:t>
            </w:r>
          </w:p>
        </w:tc>
      </w:tr>
      <w:tr>
        <w:trPr/>
        <w:tc>
          <w:tcPr>
            <w:tcW w:w="1613"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668" w:type="dxa"/>
            <w:tcBorders>
              <w:bottom w:val="single" w:sz="12" w:space="0" w:color="000000"/>
            </w:tcBorders>
            <w:tcMar>
              <w:bottom w:w="28" w:type="dxa"/>
            </w:tcMar>
            <w:vAlign w:val="center"/>
          </w:tcPr>
          <w:p>
            <w:pPr>
              <w:pStyle w:val="TableContents"/>
              <w:bidi w:val="0"/>
              <w:spacing w:before="0" w:after="283"/>
              <w:jc w:val="center"/>
              <w:rPr>
                <w:b/>
              </w:rPr>
            </w:pPr>
            <w:r>
              <w:rPr>
                <w:b/>
              </w:rPr>
              <w:t>Equity Award Date</w:t>
            </w:r>
          </w:p>
        </w:tc>
        <w:tc>
          <w:tcPr>
            <w:tcW w:w="90" w:type="dxa"/>
            <w:tcBorders/>
            <w:vAlign w:val="center"/>
          </w:tcPr>
          <w:p>
            <w:pPr>
              <w:pStyle w:val="TableContents"/>
              <w:bidi w:val="0"/>
              <w:spacing w:before="0" w:after="283"/>
              <w:jc w:val="left"/>
              <w:rPr/>
            </w:pPr>
            <w:r>
              <w:rPr/>
              <w:t> </w:t>
            </w:r>
          </w:p>
        </w:tc>
        <w:tc>
          <w:tcPr>
            <w:tcW w:w="19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Exercisable</w:t>
              <w:br/>
              <w:t>(#)</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Unexercisable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Expiration Date</w:t>
            </w:r>
          </w:p>
        </w:tc>
        <w:tc>
          <w:tcPr>
            <w:tcW w:w="140" w:type="dxa"/>
            <w:tcBorders/>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283"/>
              <w:jc w:val="left"/>
              <w:rPr>
                <w:b/>
              </w:rPr>
            </w:pPr>
            <w:r>
              <w:rPr>
                <w:b/>
              </w:rPr>
              <w:t>Marlan D. Walker</w:t>
            </w:r>
          </w:p>
        </w:tc>
        <w:tc>
          <w:tcPr>
            <w:tcW w:w="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center"/>
              <w:rPr/>
            </w:pPr>
            <w:r>
              <w:rPr/>
              <w:t>07/30/2019</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4,000</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109.00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07/30/2029</w:t>
            </w:r>
          </w:p>
        </w:tc>
        <w:tc>
          <w:tcPr>
            <w:tcW w:w="140" w:type="dxa"/>
            <w:tcBorders/>
            <w:shd w:fill="CCEEFF" w:val="clear"/>
            <w:vAlign w:val="center"/>
          </w:tcPr>
          <w:p>
            <w:pPr>
              <w:pStyle w:val="TableContents"/>
              <w:bidi w:val="0"/>
              <w:spacing w:before="0" w:after="283"/>
              <w:jc w:val="left"/>
              <w:rPr/>
            </w:pPr>
            <w:r>
              <w:rPr/>
              <w:t> </w:t>
            </w:r>
          </w:p>
        </w:tc>
      </w:tr>
      <w:tr>
        <w:trPr/>
        <w:tc>
          <w:tcPr>
            <w:tcW w:w="16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8" w:type="dxa"/>
            <w:tcBorders/>
            <w:vAlign w:val="center"/>
          </w:tcPr>
          <w:p>
            <w:pPr>
              <w:pStyle w:val="TableContents"/>
              <w:bidi w:val="0"/>
              <w:spacing w:before="0" w:after="283"/>
              <w:jc w:val="center"/>
              <w:rPr/>
            </w:pPr>
            <w:r>
              <w:rPr/>
              <w:t>11/3/2025</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67,492</w:t>
            </w:r>
          </w:p>
        </w:tc>
        <w:tc>
          <w:tcPr>
            <w:tcW w:w="204"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11/3/2035</w:t>
            </w:r>
          </w:p>
        </w:tc>
        <w:tc>
          <w:tcPr>
            <w:tcW w:w="140" w:type="dxa"/>
            <w:tcBorders/>
            <w:vAlign w:val="center"/>
          </w:tcPr>
          <w:p>
            <w:pPr>
              <w:pStyle w:val="TableContents"/>
              <w:bidi w:val="0"/>
              <w:spacing w:before="0" w:after="283"/>
              <w:jc w:val="left"/>
              <w:rPr/>
            </w:pPr>
            <w:r>
              <w:rPr/>
              <w:t> </w:t>
            </w:r>
          </w:p>
        </w:tc>
      </w:tr>
      <w:tr>
        <w:trPr/>
        <w:tc>
          <w:tcPr>
            <w:tcW w:w="1613" w:type="dxa"/>
            <w:tcBorders/>
            <w:shd w:fill="CCEEFF" w:val="clear"/>
            <w:vAlign w:val="center"/>
          </w:tcPr>
          <w:p>
            <w:pPr>
              <w:pStyle w:val="TableContents"/>
              <w:bidi w:val="0"/>
              <w:spacing w:before="0" w:after="283"/>
              <w:jc w:val="left"/>
              <w:rPr>
                <w:b/>
              </w:rPr>
            </w:pPr>
            <w:r>
              <w:rPr>
                <w:b/>
              </w:rPr>
              <w:t>Joseph Ziegler</w:t>
            </w:r>
          </w:p>
        </w:tc>
        <w:tc>
          <w:tcPr>
            <w:tcW w:w="90" w:type="dxa"/>
            <w:tcBorders/>
            <w:shd w:fill="CCEEFF" w:val="clear"/>
            <w:vAlign w:val="center"/>
          </w:tcPr>
          <w:p>
            <w:pPr>
              <w:pStyle w:val="TableContents"/>
              <w:bidi w:val="0"/>
              <w:spacing w:before="0" w:after="283"/>
              <w:jc w:val="left"/>
              <w:rPr/>
            </w:pPr>
            <w:r>
              <w:rPr/>
              <w:t> </w:t>
            </w:r>
          </w:p>
        </w:tc>
        <w:tc>
          <w:tcPr>
            <w:tcW w:w="1668"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685" w:type="dxa"/>
            <w:tcBorders/>
            <w:shd w:fill="CCEEFF" w:val="clear"/>
            <w:vAlign w:val="center"/>
          </w:tcPr>
          <w:p>
            <w:pPr>
              <w:pStyle w:val="TableContents"/>
              <w:bidi w:val="0"/>
              <w:spacing w:before="0" w:after="283"/>
              <w:jc w:val="right"/>
              <w:rPr/>
            </w:pPr>
            <w:r>
              <w:rPr/>
              <w:t>-</w:t>
            </w:r>
          </w:p>
        </w:tc>
        <w:tc>
          <w:tcPr>
            <w:tcW w:w="204"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Post-Employment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Pension Benefits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offer any defined benefit pension plans for any of our employees. We have a 401(k) plan in which employees may participate.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Walker is eligible to participate in our employee benefit plans, including medical and dental plans. Should we decide to hire other employees, these plans do not discriminate in favor of executive officers and would be available to any potential employee. It is generally our policy to not extend significant perquisites to executives that are not broadly available to our other employees. In designing these elements, we seek to provide an overall level of benefits that is competitive with that offered by similarly situated companies in the markets in which we operate based upon our general understanding of industry practice. These benefits are not considered in determining the compensation of our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 has an amended and restated employment agreement, as amended (the “Walker Employment Agreement”), with the Company that commenced on December 18, 2018, and was amended effective October 15, 2021, December 30, 2022, February 21, 2023 and December 17, 2024. The Walker Employment Agreement provides that we will continue to employ Mr. Walker, and Mr. Walker will continue to serve the Company, unless sooner terminated pursuant to the terms of the Walker Employment Agreement. The Walker Employment Agreement provides for: (i) a base salary of $428,000 per year until April 15, 2023; thereafter, a base salary of $500,000 per year and a lump-sum bonus payment of $20,909, which was paid in April 2023 (ii) an annual short-term incentive compensation of 50% of salary, at the discretion of our Board of Directors, and (iii) 70,000 RSUs vesting on June 30, 2023. Mr. Walker will receive employee benefits, vacation, and other perquisites as may be determined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termination call for (i) termination immediately upon death, (ii) termination upon a disability in which Mr. Walker is unable to perform his duties for more than six (6) consecutive months, (iii) voluntary termination without good reason by Mr. Walker with prior notice, (iv) involuntary termination by our Company without good cause, (v) termination for good cause, and (vi) termination for good reason wherein Mr. Walker will have ninety (90) days from the date of occurrence of a condition giving rise to good reason to provide a notice of termination of his employment with the Company, which will be effective thirty-one (31) days after we receive notice and the criteria remains uncorrected.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Ziegler Master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Master Services Agreement with JZ Advisory that commenced on August 15, 2023, pursuant to which, among other things, JZ Advisory will serve as an independent consultant for the purpose of providing the Company with certain support services, including the services of Mr. Ziegler as the Company’s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pay JZ Advisory $10,000 a month for the services provided under the Master Services Agreement, which monthly rate will continue until the parties negotiate a future retainer amount. Mr. Ziegler was also granted 7,500 restricted stock units, which vested on August 17, 2024. The Master Services Agreement will continue through the third anniversary of the Effective Date, unless earlier terminated (the “Term”). The Term will automatically be extended for successive one-year periods unless either party provides written notice of non-extension no less than thirty (30) days in advance. The Master Services Agreement may be terminated pursuant to its terms. The Master Services Agreement contains certain covenants and agreements of the parties, including certain indemnification obligations of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Potential Payments Upon Termination or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employment agreements with certain of our executive officers as described above. The arrangements reflected in these employment agreements are designed to encourage the officers’ full attention and dedication to our Company currently and, in the event of any proposed change in control, provide these officers with individual financial security. The employment agreements provide for specified payments and benefits by us to our executive officers only upon a qualifying termination of employment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Us Without Good Cause or by Executive with Good Reason - No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Walker Employment Agreement, for Mr. Walker, in the event of termination of the executive’s employment without “cause” (referred to as “good cause” in the Walker Employment Agreement) or resignation by the executive for “good reason” (as each term is defined in the Walker Employment Agreement), he would be entitled to, subject to his signing and not revoking a full and complete release of all claims against the Company and its affiliates, (i) the sum of his salary, payable on a biweekly basis ratably over eighteen (18) months, and one and one half times (1.5x) his target annual incentive compensation for the fiscal year in which such termination of employment occurs, (ii) a continuation of welfare benefits for a period of two years after such termination, (iii) COBRA benefits for a period of twenty-four (24) months following such termination, (iv) payment for any annual short-term incentive compensation earned for the calendar year immediately preceding the calendar year of such termination, (v) unpaid accrued base salary and unused vacation pay through the termination date, and (vi) amounts accrued but unpaid at the time of termination. Furthermore, the above obligations of the Company are subject to the executive complying with a non-solicitation agreement of employees and customers, and a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or Resignation in Connection with a Change in Control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termination of Mr. Walker’s employment without “good cause” or resignation by the executive for “good reason” in the twelve months following a change in control, Mr. Walker would be entitled to, subject to his signing and not revoking a full and complete release of all claims against the Company and its affiliates, (i) the sum of his salary, payable on a biweekly basis ratably over eighteen (18) months, and one and one half times (1.5x) his target annual incentive compensation for the fiscal year in which such termination of employment occurs, (ii) payment for any annual short-term incentive compensation earned for the calendar year immediately preceding the calendar year of such termination, (iii) unpaid accrued base salary and unused vacation pay through the termination date, and (iv) amounts accrued but unpaid at the time of termination. Furthermore, the above obligations of the Company are subject to the executive complying with a non-solicitation agreement of employees and customers, and a non-competition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Reason of Death or Disability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Mr. Walker, in the event of termination of the executive’s employment by reason of his death or “disability” (as such term is defined in the Walker Employment Agreement), in addition to those payments and benefits provided to salaried employees generally, including amounts accrued but unpaid at the time of termination, he would be entitled to (i) pro-rated target annual incentive compensation for the fiscal year in which such termination of employment occurs, payable in a lump sum, subject to the executive’s signing and not revoking a full and complete release of all claims against the Company and its affiliates in the event of a disability, (ii) immediate vesting of all outstanding equity awards that vest solely on the passage of time, accrued but unused vacation pay through the termination date, payable in a lump sum, and (iv) all other rights and benefits the executive is vested in, pursuant to other plans and programs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Termination by the Executive Without Good Reason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amount of compensation to Marlan Walker, the only NEO currently employed by the Company, assuming termination of such executive’s employment without cause or for good reason or following a change in control of our company on December 31, 2025. Other than as set forth below, no amounts will be paid to our NEOs in the event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Marlan Walker </w:t>
      </w:r>
    </w:p>
    <w:p>
      <w:pPr>
        <w:pStyle w:val="TextBody"/>
        <w:bidi w:val="0"/>
        <w:spacing w:before="0" w:after="0"/>
        <w:ind w:left="0" w:right="0" w:hanging="0"/>
        <w:jc w:val="left"/>
        <w:rPr>
          <w:caps w:val="false"/>
          <w:smallCaps w:val="false"/>
        </w:rPr>
      </w:pPr>
      <w:r>
        <w:rPr>
          <w:caps w:val="false"/>
          <w:smallCaps w:val="false"/>
        </w:rPr>
        <w:t> </w:t>
      </w:r>
    </w:p>
    <w:tbl>
      <w:tblPr>
        <w:tblW w:w="9692" w:type="dxa"/>
        <w:jc w:val="left"/>
        <w:tblInd w:w="0" w:type="dxa"/>
        <w:tblLayout w:type="fixed"/>
        <w:tblCellMar>
          <w:top w:w="0" w:type="dxa"/>
          <w:left w:w="0" w:type="dxa"/>
          <w:bottom w:w="28" w:type="dxa"/>
          <w:right w:w="0" w:type="dxa"/>
        </w:tblCellMar>
      </w:tblPr>
      <w:tblGrid>
        <w:gridCol w:w="3425"/>
        <w:gridCol w:w="90"/>
        <w:gridCol w:w="149"/>
        <w:gridCol w:w="1385"/>
        <w:gridCol w:w="275"/>
        <w:gridCol w:w="90"/>
        <w:gridCol w:w="190"/>
        <w:gridCol w:w="1764"/>
        <w:gridCol w:w="275"/>
        <w:gridCol w:w="90"/>
        <w:gridCol w:w="159"/>
        <w:gridCol w:w="1480"/>
        <w:gridCol w:w="320"/>
      </w:tblGrid>
      <w:tr>
        <w:trPr/>
        <w:tc>
          <w:tcPr>
            <w:tcW w:w="3425" w:type="dxa"/>
            <w:tcBorders>
              <w:bottom w:val="single" w:sz="12" w:space="0" w:color="000000"/>
            </w:tcBorders>
            <w:vAlign w:val="center"/>
          </w:tcPr>
          <w:p>
            <w:pPr>
              <w:pStyle w:val="TableContents"/>
              <w:bidi w:val="0"/>
              <w:spacing w:before="0" w:after="283"/>
              <w:jc w:val="left"/>
              <w:rPr>
                <w:b/>
              </w:rPr>
            </w:pPr>
            <w:r>
              <w:rPr>
                <w:b/>
              </w:rPr>
              <w:t>Executive Benefits and Payments</w:t>
            </w:r>
          </w:p>
        </w:tc>
        <w:tc>
          <w:tcPr>
            <w:tcW w:w="9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12" w:space="0" w:color="000000"/>
            </w:tcBorders>
            <w:vAlign w:val="center"/>
          </w:tcPr>
          <w:p>
            <w:pPr>
              <w:pStyle w:val="TableContents"/>
              <w:bidi w:val="0"/>
              <w:spacing w:before="0" w:after="283"/>
              <w:jc w:val="center"/>
              <w:rPr>
                <w:b/>
              </w:rPr>
            </w:pPr>
            <w:r>
              <w:rPr>
                <w:b/>
              </w:rPr>
              <w:t>Termination</w:t>
              <w:br/>
              <w:t>Without</w:t>
              <w:br/>
              <w:t>Good Cause</w:t>
              <w:br/>
              <w:t>or with Good</w:t>
              <w:br/>
              <w:t>Reason</w:t>
              <w:br/>
              <w:t xml:space="preserve">(Not in </w:t>
              <w:br/>
              <w:t>Connection</w:t>
              <w:br/>
              <w:t>with a Change</w:t>
              <w:br/>
              <w:t>in Control)</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954" w:type="dxa"/>
            <w:gridSpan w:val="2"/>
            <w:tcBorders>
              <w:bottom w:val="single" w:sz="12" w:space="0" w:color="000000"/>
            </w:tcBorders>
            <w:vAlign w:val="center"/>
          </w:tcPr>
          <w:p>
            <w:pPr>
              <w:pStyle w:val="TableContents"/>
              <w:bidi w:val="0"/>
              <w:spacing w:before="0" w:after="283"/>
              <w:jc w:val="center"/>
              <w:rPr>
                <w:b/>
              </w:rPr>
            </w:pPr>
            <w:r>
              <w:rPr>
                <w:b/>
              </w:rPr>
              <w:t>Termination</w:t>
              <w:br/>
              <w:t>Without</w:t>
              <w:br/>
              <w:t>Good Cause</w:t>
              <w:br/>
              <w:t xml:space="preserve">or with </w:t>
              <w:br/>
              <w:t>Good Reason</w:t>
              <w:br/>
              <w:t>Following a</w:t>
              <w:br/>
              <w:t>Change in Control</w:t>
              <w:br/>
              <w:t>($)</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12" w:space="0" w:color="000000"/>
            </w:tcBorders>
            <w:vAlign w:val="center"/>
          </w:tcPr>
          <w:p>
            <w:pPr>
              <w:pStyle w:val="TableContents"/>
              <w:bidi w:val="0"/>
              <w:spacing w:before="0" w:after="283"/>
              <w:jc w:val="center"/>
              <w:rPr>
                <w:b/>
              </w:rPr>
            </w:pPr>
            <w:r>
              <w:rPr>
                <w:b/>
              </w:rPr>
              <w:t>Termination by</w:t>
              <w:br/>
              <w:t>Reason of</w:t>
              <w:br/>
              <w:t>Death or</w:t>
              <w:br/>
              <w:t xml:space="preserve">Disability </w:t>
              <w:br/>
              <w:t>($)</w:t>
            </w:r>
          </w:p>
        </w:tc>
        <w:tc>
          <w:tcPr>
            <w:tcW w:w="320" w:type="dxa"/>
            <w:tcBorders/>
            <w:tcMar>
              <w:bottom w:w="0" w:type="dxa"/>
            </w:tcMar>
            <w:vAlign w:val="center"/>
          </w:tcPr>
          <w:p>
            <w:pPr>
              <w:pStyle w:val="TableContents"/>
              <w:bidi w:val="0"/>
              <w:spacing w:before="0" w:after="283"/>
              <w:jc w:val="left"/>
              <w:rPr/>
            </w:pPr>
            <w:r>
              <w:rPr/>
              <w:t> </w:t>
            </w:r>
          </w:p>
        </w:tc>
      </w:tr>
      <w:tr>
        <w:trPr/>
        <w:tc>
          <w:tcPr>
            <w:tcW w:w="3425" w:type="dxa"/>
            <w:tcBorders/>
            <w:shd w:fill="CCEEFF" w:val="clear"/>
            <w:tcMar>
              <w:bottom w:w="0" w:type="dxa"/>
            </w:tcMar>
            <w:vAlign w:val="center"/>
          </w:tcPr>
          <w:p>
            <w:pPr>
              <w:pStyle w:val="TableContents"/>
              <w:bidi w:val="0"/>
              <w:spacing w:before="0" w:after="283"/>
              <w:jc w:val="left"/>
              <w:rPr/>
            </w:pPr>
            <w:r>
              <w:rPr/>
              <w:t>Cash severance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9"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right"/>
              <w:rPr/>
            </w:pPr>
            <w:r>
              <w:rPr/>
              <w:t>807,692</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764" w:type="dxa"/>
            <w:tcBorders/>
            <w:shd w:fill="CCEEFF" w:val="clear"/>
            <w:tcMar>
              <w:bottom w:w="0" w:type="dxa"/>
            </w:tcMar>
            <w:vAlign w:val="center"/>
          </w:tcPr>
          <w:p>
            <w:pPr>
              <w:pStyle w:val="TableContents"/>
              <w:bidi w:val="0"/>
              <w:spacing w:before="0" w:after="283"/>
              <w:jc w:val="right"/>
              <w:rPr/>
            </w:pPr>
            <w:r>
              <w:rPr/>
              <w:t>807,692</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1480" w:type="dxa"/>
            <w:tcBorders/>
            <w:shd w:fill="CCEEFF" w:val="clear"/>
            <w:tcMar>
              <w:bottom w:w="0" w:type="dxa"/>
            </w:tcMar>
            <w:vAlign w:val="center"/>
          </w:tcPr>
          <w:p>
            <w:pPr>
              <w:pStyle w:val="TableContents"/>
              <w:bidi w:val="0"/>
              <w:spacing w:before="0" w:after="283"/>
              <w:jc w:val="right"/>
              <w:rPr/>
            </w:pPr>
            <w:r>
              <w:rPr/>
              <w:t>250,000</w:t>
            </w:r>
          </w:p>
        </w:tc>
        <w:tc>
          <w:tcPr>
            <w:tcW w:w="320"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4"/>
        <w:gridCol w:w="9903"/>
      </w:tblGrid>
      <w:tr>
        <w:trPr/>
        <w:tc>
          <w:tcPr>
            <w:tcW w:w="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payments due to executive for (i) eighteen (18) months of his then current salary, (ii) 150% target annual incentive compensation, (iii) health and welfare benefits for twenty-four (24) months, (iv) unused PTO, and (v) any annual short-term incentive compensation earned from the prior year that had not yet been paid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8"/>
        <w:gridCol w:w="9899"/>
      </w:tblGrid>
      <w:tr>
        <w:trPr/>
        <w:tc>
          <w:tcPr>
            <w:tcW w:w="6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payments due to executive for (i) eighteen (18) months of his then current salary, (ii) 150% target annual incentive compensation, (iii) unused PTO, and (iv) any annual short-term incentive compensation earned from the prior year that had not yet been paid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68"/>
        <w:gridCol w:w="275"/>
        <w:gridCol w:w="797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full annual incentive compensation that would be prorated based on termination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Nonqualified Defined Contribution and Nonqualified Deferred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offer any nonqualified defined contribution plans or nonqualified deferred compensation plans for any of our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 of Directors’ Liability; Indemnification of Directors, Officers, Employees, and Agents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and bylaws, each as amended, provide that we may indemnify to the full extent of our power to do so, all directors, officers, employees, and/or agents. The effect of this provision in the Amended and Restated Articles of Incorporation, as amended, is to eliminate the rights of our Company and our stockholders, either directly or through stockholders’ derivative suits brought on behalf of our Company, to recover monetary damages from a director for breach of the fiduciary duty of care as a director except in those instances described under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by our Company for liabilities arising under the Securities Act of 1933, as amended (the “Securities Act”), may be permitted to officers and directors of our Company pursuant to the foregoing provisions or otherwise, we are aware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our non-employee directors with a combination of cash and equity. Our Board of Directors receives the following cash compensation for their service: each director receives an annual cash retainer of $57,500; the chairperson of the Board receives an additional $22,500 annual cash retainer; the chairperson of our Audit Committee receives an annual cash retainer of $30,000 and the other members of the Audit Committee receive an annual cash retainer of $15,000; and the chairperson of the Compensation Committee receives an annual cash retainer of $20,000 and the other members of the Compensation Committee receive an annual cash retainer of $12,000. We also reimburse our directors for reasonable expenses related to attendance at Board of Directors and committee meetings. We do not pay our directors per meeting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and accompanying footnotes detail compensation paid to our directors for services rendered for the year ended December 31, 2025. Mr. Roberts is entitled to receive compensation in the same manner as our other non-employee directors, but he has elected not to receive any compensation for his service as a non-employee director at this time.</w:t>
      </w:r>
    </w:p>
    <w:p>
      <w:pPr>
        <w:pStyle w:val="TextBody"/>
        <w:bidi w:val="0"/>
        <w:spacing w:before="0" w:after="0"/>
        <w:ind w:left="0" w:right="0" w:hanging="0"/>
        <w:jc w:val="left"/>
        <w:rPr>
          <w:caps w:val="false"/>
          <w:smallCaps w:val="false"/>
        </w:rPr>
      </w:pPr>
      <w:r>
        <w:rPr>
          <w:caps w:val="false"/>
          <w:smallCaps w:val="false"/>
        </w:rPr>
        <w:t> </w:t>
      </w:r>
    </w:p>
    <w:tbl>
      <w:tblPr>
        <w:tblW w:w="7791" w:type="dxa"/>
        <w:jc w:val="left"/>
        <w:tblInd w:w="0" w:type="dxa"/>
        <w:tblLayout w:type="fixed"/>
        <w:tblCellMar>
          <w:top w:w="0" w:type="dxa"/>
          <w:left w:w="0" w:type="dxa"/>
          <w:bottom w:w="28" w:type="dxa"/>
          <w:right w:w="0" w:type="dxa"/>
        </w:tblCellMar>
      </w:tblPr>
      <w:tblGrid>
        <w:gridCol w:w="2315"/>
        <w:gridCol w:w="90"/>
        <w:gridCol w:w="165"/>
        <w:gridCol w:w="1308"/>
        <w:gridCol w:w="165"/>
        <w:gridCol w:w="90"/>
        <w:gridCol w:w="105"/>
        <w:gridCol w:w="693"/>
        <w:gridCol w:w="105"/>
        <w:gridCol w:w="90"/>
        <w:gridCol w:w="448"/>
        <w:gridCol w:w="622"/>
        <w:gridCol w:w="450"/>
        <w:gridCol w:w="90"/>
        <w:gridCol w:w="90"/>
        <w:gridCol w:w="830"/>
        <w:gridCol w:w="135"/>
      </w:tblGrid>
      <w:tr>
        <w:trPr/>
        <w:tc>
          <w:tcPr>
            <w:tcW w:w="23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left"/>
              <w:rPr/>
            </w:pPr>
            <w:r>
              <w:rPr/>
              <w:t> </w:t>
            </w:r>
          </w:p>
        </w:tc>
        <w:tc>
          <w:tcPr>
            <w:tcW w:w="1638" w:type="dxa"/>
            <w:gridSpan w:val="3"/>
            <w:tcBorders>
              <w:bottom w:val="single" w:sz="12" w:space="0" w:color="000000"/>
            </w:tcBorders>
            <w:vAlign w:val="center"/>
          </w:tcPr>
          <w:p>
            <w:pPr>
              <w:pStyle w:val="TableContents"/>
              <w:bidi w:val="0"/>
              <w:spacing w:before="0" w:after="283"/>
              <w:jc w:val="center"/>
              <w:rPr>
                <w:b/>
              </w:rPr>
            </w:pPr>
            <w:r>
              <w:rPr>
                <w:b/>
              </w:rPr>
              <w:t>Fees Earned</w:t>
              <w:br/>
              <w:t>or Paid in Cash</w:t>
              <w:br/>
              <w:t>($)</w:t>
            </w:r>
          </w:p>
        </w:tc>
        <w:tc>
          <w:tcPr>
            <w:tcW w:w="90" w:type="dxa"/>
            <w:tcBorders/>
            <w:tcMar>
              <w:bottom w:w="0" w:type="dxa"/>
            </w:tcMar>
            <w:vAlign w:val="center"/>
          </w:tcPr>
          <w:p>
            <w:pPr>
              <w:pStyle w:val="TableContents"/>
              <w:bidi w:val="0"/>
              <w:spacing w:before="0" w:after="283"/>
              <w:jc w:val="left"/>
              <w:rPr/>
            </w:pPr>
            <w:r>
              <w:rPr/>
              <w:t> </w:t>
            </w:r>
          </w:p>
        </w:tc>
        <w:tc>
          <w:tcPr>
            <w:tcW w:w="903" w:type="dxa"/>
            <w:gridSpan w:val="3"/>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br/>
              <w:t>Awards</w:t>
            </w:r>
            <w:r>
              <w:rPr>
                <w:rFonts w:ascii="Times New Roman;Times;Serif" w:hAnsi="Times New Roman;Times;Serif"/>
                <w:b/>
                <w:position w:val="7"/>
                <w:sz w:val="16"/>
                <w:sz w:val="20"/>
              </w:rPr>
              <w:t>(2)</w:t>
              <w:br/>
            </w:r>
            <w:r>
              <w:rPr>
                <w:rFonts w:ascii="Times New Roman;Times;Serif" w:hAnsi="Times New Roman;Times;Serif"/>
                <w:b/>
                <w:sz w:val="20"/>
              </w:rPr>
              <w:t>($)</w:t>
            </w:r>
          </w:p>
        </w:tc>
        <w:tc>
          <w:tcPr>
            <w:tcW w:w="90" w:type="dxa"/>
            <w:tcBorders/>
            <w:tcMar>
              <w:bottom w:w="0" w:type="dxa"/>
            </w:tcMar>
            <w:vAlign w:val="center"/>
          </w:tcPr>
          <w:p>
            <w:pPr>
              <w:pStyle w:val="TableContents"/>
              <w:bidi w:val="0"/>
              <w:spacing w:before="0" w:after="283"/>
              <w:jc w:val="left"/>
              <w:rPr/>
            </w:pPr>
            <w:r>
              <w:rPr/>
              <w:t> </w:t>
            </w:r>
          </w:p>
        </w:tc>
        <w:tc>
          <w:tcPr>
            <w:tcW w:w="1520" w:type="dxa"/>
            <w:gridSpan w:val="3"/>
            <w:tcBorders>
              <w:bottom w:val="single" w:sz="12" w:space="0" w:color="000000"/>
            </w:tcBorders>
            <w:vAlign w:val="center"/>
          </w:tcPr>
          <w:p>
            <w:pPr>
              <w:pStyle w:val="TableContents"/>
              <w:bidi w:val="0"/>
              <w:spacing w:before="0" w:after="283"/>
              <w:jc w:val="center"/>
              <w:rPr>
                <w:b/>
              </w:rPr>
            </w:pPr>
            <w:r>
              <w:rPr>
                <w:b/>
              </w:rPr>
              <w:t>All Other</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1055" w:type="dxa"/>
            <w:gridSpan w:val="3"/>
            <w:tcBorders>
              <w:bottom w:val="single" w:sz="12" w:space="0" w:color="000000"/>
            </w:tcBorders>
            <w:vAlign w:val="center"/>
          </w:tcPr>
          <w:p>
            <w:pPr>
              <w:pStyle w:val="TableContents"/>
              <w:bidi w:val="0"/>
              <w:spacing w:before="0" w:after="283"/>
              <w:ind w:left="0" w:right="0" w:hanging="200"/>
              <w:jc w:val="center"/>
              <w:rPr>
                <w:b/>
              </w:rPr>
            </w:pPr>
            <w:r>
              <w:rPr>
                <w:b/>
              </w:rPr>
              <w:t>Total</w:t>
              <w:br/>
              <w:t>($)</w:t>
            </w:r>
          </w:p>
        </w:tc>
      </w:tr>
      <w:tr>
        <w:trPr/>
        <w:tc>
          <w:tcPr>
            <w:tcW w:w="2315" w:type="dxa"/>
            <w:tcBorders/>
            <w:shd w:fill="CCEEFF" w:val="clear"/>
            <w:tcMar>
              <w:bottom w:w="0" w:type="dxa"/>
            </w:tcMar>
            <w:vAlign w:val="center"/>
          </w:tcPr>
          <w:p>
            <w:pPr>
              <w:pStyle w:val="TableContents"/>
              <w:bidi w:val="0"/>
              <w:spacing w:before="0" w:after="283"/>
              <w:jc w:val="left"/>
              <w:rPr>
                <w:b/>
              </w:rPr>
            </w:pPr>
            <w:r>
              <w:rPr>
                <w:b/>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95,000</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9,775</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104,775</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Cooper C. Collins</w:t>
            </w:r>
          </w:p>
        </w:tc>
        <w:tc>
          <w:tcPr>
            <w:tcW w:w="90" w:type="dxa"/>
            <w:tcBorders/>
            <w:tcMar>
              <w:bottom w:w="0" w:type="dxa"/>
            </w:tcMar>
            <w:vAlign w:val="center"/>
          </w:tcPr>
          <w:p>
            <w:pPr>
              <w:pStyle w:val="TableContents"/>
              <w:bidi w:val="0"/>
              <w:spacing w:before="0" w:after="283"/>
              <w:jc w:val="left"/>
              <w:rPr/>
            </w:pPr>
            <w:r>
              <w:rPr/>
              <w:t> </w:t>
            </w:r>
          </w:p>
        </w:tc>
        <w:tc>
          <w:tcPr>
            <w:tcW w:w="16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99,500</w:t>
            </w:r>
          </w:p>
        </w:tc>
        <w:tc>
          <w:tcPr>
            <w:tcW w:w="1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9,775</w:t>
            </w:r>
          </w:p>
        </w:tc>
        <w:tc>
          <w:tcPr>
            <w:tcW w:w="1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622"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109,275</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Gail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308" w:type="dxa"/>
            <w:tcBorders/>
            <w:shd w:fill="CCEEFF" w:val="clear"/>
            <w:tcMar>
              <w:bottom w:w="0" w:type="dxa"/>
            </w:tcMar>
            <w:vAlign w:val="center"/>
          </w:tcPr>
          <w:p>
            <w:pPr>
              <w:pStyle w:val="TableContents"/>
              <w:bidi w:val="0"/>
              <w:spacing w:before="0" w:after="283"/>
              <w:jc w:val="right"/>
              <w:rPr/>
            </w:pPr>
            <w:r>
              <w:rPr/>
              <w:t>77,500</w:t>
            </w:r>
          </w:p>
        </w:tc>
        <w:tc>
          <w:tcPr>
            <w:tcW w:w="1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693" w:type="dxa"/>
            <w:tcBorders/>
            <w:shd w:fill="CCEEFF" w:val="clear"/>
            <w:tcMar>
              <w:bottom w:w="0" w:type="dxa"/>
            </w:tcMar>
            <w:vAlign w:val="center"/>
          </w:tcPr>
          <w:p>
            <w:pPr>
              <w:pStyle w:val="TableContents"/>
              <w:bidi w:val="0"/>
              <w:spacing w:before="0" w:after="283"/>
              <w:jc w:val="right"/>
              <w:rPr/>
            </w:pPr>
            <w:r>
              <w:rPr/>
              <w:t>9,775</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48" w:type="dxa"/>
            <w:tcBorders/>
            <w:shd w:fill="CCEEFF" w:val="clear"/>
            <w:tcMar>
              <w:bottom w:w="0" w:type="dxa"/>
            </w:tcMar>
            <w:vAlign w:val="center"/>
          </w:tcPr>
          <w:p>
            <w:pPr>
              <w:pStyle w:val="TableContents"/>
              <w:bidi w:val="0"/>
              <w:spacing w:before="0" w:after="283"/>
              <w:jc w:val="left"/>
              <w:rPr/>
            </w:pPr>
            <w:r>
              <w:rPr/>
              <w:t> </w:t>
            </w:r>
          </w:p>
        </w:tc>
        <w:tc>
          <w:tcPr>
            <w:tcW w:w="622" w:type="dxa"/>
            <w:tcBorders/>
            <w:shd w:fill="CCEEFF" w:val="clear"/>
            <w:tcMar>
              <w:bottom w:w="0" w:type="dxa"/>
            </w:tcMar>
            <w:vAlign w:val="center"/>
          </w:tcPr>
          <w:p>
            <w:pPr>
              <w:pStyle w:val="TableContents"/>
              <w:bidi w:val="0"/>
              <w:spacing w:before="0" w:after="283"/>
              <w:jc w:val="right"/>
              <w:rPr/>
            </w:pPr>
            <w:r>
              <w:rPr/>
              <w:t>-</w:t>
            </w:r>
          </w:p>
        </w:tc>
        <w:tc>
          <w:tcPr>
            <w:tcW w:w="45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87,275</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Justin Roberts</w:t>
            </w:r>
          </w:p>
        </w:tc>
        <w:tc>
          <w:tcPr>
            <w:tcW w:w="90" w:type="dxa"/>
            <w:tcBorders/>
            <w:tcMar>
              <w:bottom w:w="0" w:type="dxa"/>
            </w:tcMar>
            <w:vAlign w:val="center"/>
          </w:tcPr>
          <w:p>
            <w:pPr>
              <w:pStyle w:val="TableContents"/>
              <w:bidi w:val="0"/>
              <w:spacing w:before="0" w:after="283"/>
              <w:jc w:val="left"/>
              <w:rPr/>
            </w:pPr>
            <w:r>
              <w:rPr/>
              <w:t> </w:t>
            </w:r>
          </w:p>
        </w:tc>
        <w:tc>
          <w:tcPr>
            <w:tcW w:w="16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w:t>
            </w:r>
          </w:p>
        </w:tc>
        <w:tc>
          <w:tcPr>
            <w:tcW w:w="1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693" w:type="dxa"/>
            <w:tcBorders/>
            <w:tcMar>
              <w:bottom w:w="0" w:type="dxa"/>
            </w:tcMar>
            <w:vAlign w:val="center"/>
          </w:tcPr>
          <w:p>
            <w:pPr>
              <w:pStyle w:val="TableContents"/>
              <w:bidi w:val="0"/>
              <w:spacing w:before="0" w:after="283"/>
              <w:jc w:val="right"/>
              <w:rPr/>
            </w:pPr>
            <w:r>
              <w:rPr/>
              <w:t>-</w:t>
            </w:r>
          </w:p>
        </w:tc>
        <w:tc>
          <w:tcPr>
            <w:tcW w:w="10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48" w:type="dxa"/>
            <w:tcBorders/>
            <w:tcMar>
              <w:bottom w:w="0" w:type="dxa"/>
            </w:tcMar>
            <w:vAlign w:val="center"/>
          </w:tcPr>
          <w:p>
            <w:pPr>
              <w:pStyle w:val="TableContents"/>
              <w:bidi w:val="0"/>
              <w:spacing w:before="0" w:after="283"/>
              <w:jc w:val="left"/>
              <w:rPr/>
            </w:pPr>
            <w:r>
              <w:rPr/>
              <w:t> </w:t>
            </w:r>
          </w:p>
        </w:tc>
        <w:tc>
          <w:tcPr>
            <w:tcW w:w="622" w:type="dxa"/>
            <w:tcBorders/>
            <w:tcMar>
              <w:bottom w:w="0" w:type="dxa"/>
            </w:tcMar>
            <w:vAlign w:val="center"/>
          </w:tcPr>
          <w:p>
            <w:pPr>
              <w:pStyle w:val="TableContents"/>
              <w:bidi w:val="0"/>
              <w:spacing w:before="0" w:after="283"/>
              <w:jc w:val="right"/>
              <w:rPr/>
            </w:pPr>
            <w:r>
              <w:rPr/>
              <w:t>-</w:t>
            </w:r>
          </w:p>
        </w:tc>
        <w:tc>
          <w:tcPr>
            <w:tcW w:w="45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0"/>
        <w:gridCol w:w="9867"/>
      </w:tblGrid>
      <w:tr>
        <w:trPr/>
        <w:tc>
          <w:tcPr>
            <w:tcW w:w="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 2025, each of the directors listed in the “Director Compensation” table had the following awards outstanding:</w:t>
            </w:r>
          </w:p>
        </w:tc>
      </w:tr>
    </w:tbl>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28" w:type="dxa"/>
          <w:right w:w="0" w:type="dxa"/>
        </w:tblCellMar>
      </w:tblPr>
      <w:tblGrid>
        <w:gridCol w:w="2315"/>
        <w:gridCol w:w="90"/>
        <w:gridCol w:w="113"/>
        <w:gridCol w:w="747"/>
        <w:gridCol w:w="90"/>
        <w:gridCol w:w="90"/>
        <w:gridCol w:w="113"/>
        <w:gridCol w:w="747"/>
        <w:gridCol w:w="135"/>
      </w:tblGrid>
      <w:tr>
        <w:trPr/>
        <w:tc>
          <w:tcPr>
            <w:tcW w:w="231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Option</w:t>
              <w:br/>
              <w:t>Awards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Stock</w:t>
              <w:br/>
              <w:t>Awards</w:t>
              <w:br/>
              <w:t>(#)</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Tommy G. Thompson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5,750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8,500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Cooper C. Collins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4,000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8,500</w:t>
            </w:r>
          </w:p>
        </w:tc>
        <w:tc>
          <w:tcPr>
            <w:tcW w:w="135" w:type="dxa"/>
            <w:tcBorders/>
            <w:tcMar>
              <w:bottom w:w="0" w:type="dxa"/>
            </w:tcMar>
            <w:vAlign w:val="center"/>
          </w:tcPr>
          <w:p>
            <w:pPr>
              <w:pStyle w:val="TableContents"/>
              <w:bidi w:val="0"/>
              <w:spacing w:before="0" w:after="283"/>
              <w:ind w:left="0" w:right="0" w:hanging="200"/>
              <w:jc w:val="left"/>
              <w:rPr/>
            </w:pPr>
            <w:r>
              <w:rPr/>
              <w:t> </w:t>
            </w:r>
          </w:p>
        </w:tc>
      </w:tr>
      <w:tr>
        <w:trPr/>
        <w:tc>
          <w:tcPr>
            <w:tcW w:w="2315" w:type="dxa"/>
            <w:tcBorders/>
            <w:shd w:fill="CCEEFF" w:val="clear"/>
            <w:tcMar>
              <w:bottom w:w="0" w:type="dxa"/>
            </w:tcMar>
            <w:vAlign w:val="center"/>
          </w:tcPr>
          <w:p>
            <w:pPr>
              <w:pStyle w:val="TableContents"/>
              <w:bidi w:val="0"/>
              <w:spacing w:before="0" w:after="283"/>
              <w:jc w:val="left"/>
              <w:rPr>
                <w:b/>
              </w:rPr>
            </w:pPr>
            <w:r>
              <w:rPr>
                <w:b/>
              </w:rPr>
              <w:t>Gail Naughton, Ph.D.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p>
        </w:tc>
        <w:tc>
          <w:tcPr>
            <w:tcW w:w="747" w:type="dxa"/>
            <w:tcBorders/>
            <w:shd w:fill="CCEEFF" w:val="clear"/>
            <w:tcMar>
              <w:bottom w:w="0" w:type="dxa"/>
            </w:tcMar>
            <w:vAlign w:val="center"/>
          </w:tcPr>
          <w:p>
            <w:pPr>
              <w:pStyle w:val="TableContents"/>
              <w:bidi w:val="0"/>
              <w:spacing w:before="0" w:after="283"/>
              <w:jc w:val="right"/>
              <w:rPr/>
            </w:pPr>
            <w:r>
              <w:rPr/>
              <w:t>8,500</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2315" w:type="dxa"/>
            <w:tcBorders/>
            <w:tcMar>
              <w:bottom w:w="0" w:type="dxa"/>
            </w:tcMar>
            <w:vAlign w:val="center"/>
          </w:tcPr>
          <w:p>
            <w:pPr>
              <w:pStyle w:val="TableContents"/>
              <w:bidi w:val="0"/>
              <w:spacing w:before="0" w:after="283"/>
              <w:jc w:val="left"/>
              <w:rPr>
                <w:b/>
              </w:rPr>
            </w:pPr>
            <w:r>
              <w:rPr>
                <w:b/>
              </w:rPr>
              <w:t>Justin Roberts</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3" w:type="dxa"/>
            <w:tcBorders/>
            <w:tcMar>
              <w:bottom w:w="0" w:type="dxa"/>
            </w:tcMar>
            <w:vAlign w:val="center"/>
          </w:tcPr>
          <w:p>
            <w:pPr>
              <w:pStyle w:val="TableContents"/>
              <w:bidi w:val="0"/>
              <w:spacing w:before="0" w:after="283"/>
              <w:jc w:val="left"/>
              <w:rPr/>
            </w:pPr>
            <w:r>
              <w:rPr/>
              <w:t> </w:t>
            </w:r>
          </w:p>
        </w:tc>
        <w:tc>
          <w:tcPr>
            <w:tcW w:w="747"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awards listed above include 8,500 restricted stock units that were not vested as of December 31, 2025, for each of Mr. Thompson, Mr. Collins and Dr. Naughton,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9"/>
        <w:gridCol w:w="9898"/>
      </w:tblGrid>
      <w:tr>
        <w:trPr/>
        <w:tc>
          <w:tcPr>
            <w:tcW w:w="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grant RSUs for shares of common stock to non-employee directors. We value our RSUs by reference to our stock price on the date of grant. We recognize compensation expense for RSUs based on a straight-line basis over the requisite service period of the entire award.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1"/>
      <w:bookmarkEnd w:id="23"/>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March 23, 2026, by the following:</w:t>
      </w:r>
    </w:p>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200"/>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named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68"/>
        <w:gridCol w:w="200"/>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directors and executive officers as a group; and</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68"/>
        <w:gridCol w:w="200"/>
        <w:gridCol w:w="97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person, or group of affiliated persons, who is known by us to beneficially own more than 5% of our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and generally means that a person has 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60 days of March 30, 2026. Shares issuable pursuant to stock options, warrants, and convertible securities are deemed outstanding for computing the percentage of the person holding such options, warrants, or convertible securities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TherapeuticsMD, Inc., 951 Yamato Road, Suite 220, Boca Raton, Florida 33431.</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4835"/>
        <w:gridCol w:w="90"/>
        <w:gridCol w:w="96"/>
        <w:gridCol w:w="1081"/>
        <w:gridCol w:w="96"/>
        <w:gridCol w:w="96"/>
        <w:gridCol w:w="145"/>
        <w:gridCol w:w="759"/>
        <w:gridCol w:w="290"/>
      </w:tblGrid>
      <w:tr>
        <w:trPr/>
        <w:tc>
          <w:tcPr>
            <w:tcW w:w="48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Shares Beneficially</w:t>
              <w:br/>
              <w:t>Owned</w:t>
            </w:r>
          </w:p>
        </w:tc>
        <w:tc>
          <w:tcPr>
            <w:tcW w:w="290" w:type="dxa"/>
            <w:tcBorders/>
            <w:vAlign w:val="center"/>
          </w:tcPr>
          <w:p>
            <w:pPr>
              <w:pStyle w:val="TableContents"/>
              <w:bidi w:val="0"/>
              <w:spacing w:before="0" w:after="283"/>
              <w:jc w:val="left"/>
              <w:rPr/>
            </w:pPr>
            <w:r>
              <w:rPr/>
              <w:t> </w:t>
            </w:r>
          </w:p>
        </w:tc>
      </w:tr>
      <w:tr>
        <w:trPr/>
        <w:tc>
          <w:tcPr>
            <w:tcW w:w="4835" w:type="dxa"/>
            <w:tcBorders>
              <w:bottom w:val="single" w:sz="12" w:space="0" w:color="000000"/>
            </w:tcBorders>
            <w:tcMar>
              <w:bottom w:w="28" w:type="dxa"/>
            </w:tcMar>
            <w:vAlign w:val="center"/>
          </w:tcPr>
          <w:p>
            <w:pPr>
              <w:pStyle w:val="TableContents"/>
              <w:bidi w:val="0"/>
              <w:spacing w:before="0" w:after="283"/>
              <w:jc w:val="left"/>
              <w:rPr>
                <w:b/>
              </w:rPr>
            </w:pPr>
            <w:r>
              <w:rPr>
                <w:b/>
              </w:rPr>
              <w:t>Name of Beneficial Owners</w:t>
            </w:r>
          </w:p>
        </w:tc>
        <w:tc>
          <w:tcPr>
            <w:tcW w:w="90" w:type="dxa"/>
            <w:tcBorders/>
            <w:vAlign w:val="center"/>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w:t>
            </w:r>
            <w:r>
              <w:rPr>
                <w:rFonts w:ascii="Times New Roman;Times;Serif" w:hAnsi="Times New Roman;Times;Serif"/>
                <w:b/>
                <w:position w:val="7"/>
                <w:sz w:val="16"/>
                <w:sz w:val="20"/>
              </w:rPr>
              <w:t>(1)</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b/>
              </w:rPr>
            </w:pPr>
            <w:r>
              <w:rPr>
                <w:b/>
              </w:rPr>
              <w:t>Executive Officers and Directors:</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212,623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1.8</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Tommy G. Thompson</w:t>
            </w:r>
            <w:r>
              <w:rPr>
                <w:rFonts w:ascii="Times New Roman;Times;Serif" w:hAnsi="Times New Roman;Times;Serif"/>
                <w:position w:val="7"/>
                <w:sz w:val="16"/>
                <w:sz w:val="20"/>
              </w:rPr>
              <w:t>(3)</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43,262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 C. Collins</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64,516</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Gail K. Naughton, Ph.D.</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8,500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pPr>
            <w:r>
              <w:rPr/>
              <w:t>Justin Roberts</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ind w:left="0" w:right="0" w:hanging="200"/>
              <w:jc w:val="left"/>
              <w:rPr/>
            </w:pPr>
            <w:r>
              <w:rPr/>
              <w:t> </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r>
              <w:rPr>
                <w:rFonts w:ascii="Times New Roman;Times;Serif" w:hAnsi="Times New Roman;Times;Serif"/>
                <w:position w:val="7"/>
                <w:sz w:val="16"/>
                <w:sz w:val="20"/>
              </w:rPr>
              <w:t>(6)</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7,500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pPr>
            <w:r>
              <w:rPr/>
              <w:t>All executives and directors as a group (6 persons)</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336,401</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2.9</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b/>
              </w:rPr>
            </w:pPr>
            <w:r>
              <w:rPr>
                <w:b/>
              </w:rPr>
              <w:t>5% Stockholders:</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ind w:left="0" w:right="0" w:hanging="200"/>
              <w:jc w:val="left"/>
              <w:rPr/>
            </w:pPr>
            <w:r>
              <w:rPr/>
              <w:t> </w:t>
            </w:r>
          </w:p>
        </w:tc>
      </w:tr>
      <w:tr>
        <w:trPr/>
        <w:tc>
          <w:tcPr>
            <w:tcW w:w="4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Rubric Capital Management LP</w:t>
            </w:r>
            <w:r>
              <w:rPr>
                <w:rFonts w:ascii="Times New Roman;Times;Serif" w:hAnsi="Times New Roman;Times;Serif"/>
                <w:position w:val="7"/>
                <w:sz w:val="16"/>
                <w:sz w:val="20"/>
              </w:rPr>
              <w:t>(7)</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2,946,908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right"/>
              <w:rPr/>
            </w:pPr>
            <w:r>
              <w:rPr/>
              <w:t>25.5</w:t>
            </w:r>
          </w:p>
        </w:tc>
        <w:tc>
          <w:tcPr>
            <w:tcW w:w="290" w:type="dxa"/>
            <w:tcBorders/>
            <w:shd w:fill="CCEEFF" w:val="clear"/>
            <w:vAlign w:val="center"/>
          </w:tcPr>
          <w:p>
            <w:pPr>
              <w:pStyle w:val="TableContents"/>
              <w:bidi w:val="0"/>
              <w:spacing w:before="0" w:after="283"/>
              <w:ind w:left="0" w:right="0" w:hanging="200"/>
              <w:jc w:val="left"/>
              <w:rPr/>
            </w:pPr>
            <w:r>
              <w:rPr/>
              <w:t>%</w:t>
            </w:r>
          </w:p>
        </w:tc>
      </w:tr>
      <w:tr>
        <w:trPr/>
        <w:tc>
          <w:tcPr>
            <w:tcW w:w="4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Clearline Capital LP</w:t>
            </w:r>
            <w:r>
              <w:rPr>
                <w:rFonts w:ascii="Times New Roman;Times;Serif" w:hAnsi="Times New Roman;Times;Serif"/>
                <w:position w:val="7"/>
                <w:sz w:val="16"/>
                <w:sz w:val="20"/>
              </w:rPr>
              <w:t>(8)</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635,222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59"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155"/>
        <w:gridCol w:w="591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less than 1% of the outstanding shares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90"/>
        <w:gridCol w:w="522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Based on 11,574,362 shares outstanding as of March 23, 2026.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vAlign w:val="center"/>
          </w:tcPr>
          <w:p>
            <w:pPr>
              <w:pStyle w:val="TableContents"/>
              <w:bidi w:val="0"/>
              <w:spacing w:before="0" w:after="283"/>
              <w:jc w:val="left"/>
              <w:rPr/>
            </w:pPr>
            <w:r>
              <w:rPr/>
              <w:t>Includes (i) 141,131 shares held by Mr. Walker directly and (ii) 71,492 shares issuable to Mr. Walker upon the exercise of vested stock options.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1" w:type="dxa"/>
            <w:tcBorders/>
            <w:vAlign w:val="center"/>
          </w:tcPr>
          <w:p>
            <w:pPr>
              <w:pStyle w:val="TableContents"/>
              <w:bidi w:val="0"/>
              <w:spacing w:before="0" w:after="283"/>
              <w:jc w:val="left"/>
              <w:rPr/>
            </w:pPr>
            <w:r>
              <w:rPr/>
              <w:t>Includes (i) 14,312 shares held by Thompson Family Investments, LLC, an entity solely owned by Thompson Family Holdings, LLC, an entity solely owned by Mr. Thompson, (ii) 23,179 shares held by Mr. Thompson directly, (iii) 21 shares held indirectly by Thompson Family Holdings, LLC and (iv) 5,750 shares issuable to Mr. Thompson upon the exercise of vested stock options.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 60,516 shares held by Mr. Collins directly and (ii) 4,000 shares issuable to Mr. Collins upon the exercise of vested stock options.</w:t>
            </w:r>
          </w:p>
        </w:tc>
      </w:tr>
    </w:tbl>
    <w:p>
      <w:pPr>
        <w:pStyle w:val="TextBody"/>
        <w:bidi w:val="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290"/>
        <w:gridCol w:w="435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8,500 shares held by Dr. Naughton directly.</w:t>
            </w:r>
          </w:p>
        </w:tc>
      </w:tr>
    </w:tbl>
    <w:p>
      <w:pPr>
        <w:pStyle w:val="TextBody"/>
        <w:bidi w:val="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7,500 shares held by Mr. Ziegler directly.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solely on the Schedule 13D/A filed with the SEC by Rubric Capital Management LP on November 17, 2023. Rubric Capital Management LP has shared voting and shared dispositive power over 2,946,908 shares. The address of Rubric Capital Management LP is 155 East 44</w:t>
            </w:r>
            <w:r>
              <w:rPr>
                <w:rFonts w:ascii="Times New Roman;Times;Serif" w:hAnsi="Times New Roman;Times;Serif"/>
                <w:position w:val="7"/>
                <w:sz w:val="16"/>
                <w:sz w:val="20"/>
              </w:rPr>
              <w:t>th</w:t>
            </w:r>
            <w:r>
              <w:rPr>
                <w:rFonts w:ascii="Times New Roman;Times;Serif" w:hAnsi="Times New Roman;Times;Serif"/>
                <w:sz w:val="20"/>
              </w:rPr>
              <w:t xml:space="preserve"> Street, Suite 1630, New York, NY 10017.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Based solely on a Schedule 13G filed with the SEC by Clearline Capital LP on February 12, 2025. Clearline Capital LP has shared voting and shared dispositive power over 635,222 shares. The address of Clearline Capital LP is 950 Third Avenue, 23</w:t>
            </w:r>
            <w:r>
              <w:rPr>
                <w:rFonts w:ascii="Times New Roman;Times;Serif" w:hAnsi="Times New Roman;Times;Serif"/>
                <w:position w:val="7"/>
                <w:sz w:val="16"/>
                <w:sz w:val="20"/>
              </w:rPr>
              <w:t>rd</w:t>
            </w:r>
            <w:r>
              <w:rPr>
                <w:rFonts w:ascii="Times New Roman;Times;Serif" w:hAnsi="Times New Roman;Times;Serif"/>
                <w:sz w:val="20"/>
              </w:rPr>
              <w:t xml:space="preserve"> Floor, New York, NY 10022.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EQUITY COMPENSATION PLAN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table shows the number of securities to be issued upon exercise of outstanding options under equity compensation plans approved by our stockholders, which plans do not provide for the issuance of warrants or other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1"/>
        <w:gridCol w:w="90"/>
        <w:gridCol w:w="250"/>
        <w:gridCol w:w="1164"/>
        <w:gridCol w:w="118"/>
        <w:gridCol w:w="118"/>
        <w:gridCol w:w="536"/>
        <w:gridCol w:w="746"/>
        <w:gridCol w:w="118"/>
        <w:gridCol w:w="118"/>
        <w:gridCol w:w="485"/>
        <w:gridCol w:w="675"/>
        <w:gridCol w:w="90"/>
        <w:gridCol w:w="90"/>
        <w:gridCol w:w="147"/>
        <w:gridCol w:w="1163"/>
        <w:gridCol w:w="90"/>
        <w:gridCol w:w="90"/>
        <w:gridCol w:w="172"/>
        <w:gridCol w:w="1603"/>
        <w:gridCol w:w="141"/>
      </w:tblGrid>
      <w:tr>
        <w:trPr/>
        <w:tc>
          <w:tcPr>
            <w:tcW w:w="220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2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w:t>
              <w:br/>
              <w:t>Number of Securities to be Issued Upon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w:t>
              <w:br/>
              <w:t>Number of</w:t>
              <w:br/>
              <w:t>Securities</w:t>
              <w:br/>
              <w:t>Remaining</w:t>
              <w:br/>
              <w:t>Available For</w:t>
              <w:br/>
              <w:t>Future</w:t>
              <w:br/>
              <w:t>Issuance</w:t>
            </w:r>
          </w:p>
        </w:tc>
        <w:tc>
          <w:tcPr>
            <w:tcW w:w="141" w:type="dxa"/>
            <w:tcBorders/>
            <w:vAlign w:val="center"/>
          </w:tcPr>
          <w:p>
            <w:pPr>
              <w:pStyle w:val="TableContents"/>
              <w:bidi w:val="0"/>
              <w:spacing w:before="0" w:after="283"/>
              <w:jc w:val="left"/>
              <w:rPr/>
            </w:pPr>
            <w:r>
              <w:rPr/>
              <w:t> </w:t>
            </w:r>
          </w:p>
        </w:tc>
      </w:tr>
      <w:tr>
        <w:trPr/>
        <w:tc>
          <w:tcPr>
            <w:tcW w:w="2201" w:type="dxa"/>
            <w:tcBorders>
              <w:bottom w:val="single" w:sz="12" w:space="0" w:color="000000"/>
            </w:tcBorders>
            <w:tcMar>
              <w:bottom w:w="28" w:type="dxa"/>
            </w:tcMar>
            <w:vAlign w:val="center"/>
          </w:tcPr>
          <w:p>
            <w:pPr>
              <w:pStyle w:val="TableContents"/>
              <w:bidi w:val="0"/>
              <w:spacing w:before="0" w:after="283"/>
              <w:jc w:val="left"/>
              <w:rPr>
                <w:b/>
              </w:rPr>
            </w:pPr>
            <w:r>
              <w:rPr>
                <w:b/>
              </w:rPr>
              <w:t>Plan Name</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 of</w:t>
              <w:br/>
              <w:t>Outstanding</w:t>
              <w:br/>
              <w:t xml:space="preserve">Options </w:t>
              <w:b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Vesting and</w:t>
              <w:br/>
              <w:t>Settlement of</w:t>
              <w:br/>
              <w:t>Restricted</w:t>
              <w:br/>
              <w:t>Stock Units</w:t>
              <w:br/>
              <w:t>(“RSUs”)</w:t>
              <w:b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 and</w:t>
              <w:br/>
              <w:t>Settlement of</w:t>
              <w:br/>
              <w:t>Performance</w:t>
              <w:br/>
              <w:t>Stock Units</w:t>
              <w:br/>
              <w:t>(“PSUs”)</w:t>
            </w:r>
            <w:r>
              <w:rPr>
                <w:rFonts w:ascii="Times New Roman;Times;Serif" w:hAnsi="Times New Roman;Times;Serif"/>
                <w:b/>
                <w:position w:val="7"/>
                <w:sz w:val="16"/>
                <w:sz w:val="20"/>
              </w:rPr>
              <w:br/>
            </w:r>
            <w:r>
              <w:rPr>
                <w:rFonts w:ascii="Times New Roman;Times;Serif" w:hAnsi="Times New Roman;Times;Serif"/>
                <w:b/>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Outstanding</w:t>
              <w:br/>
              <w:t>Options</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Under Equity</w:t>
              <w:br/>
              <w:t>Compensation Plans</w:t>
              <w:br/>
              <w:t>(Excluding</w:t>
              <w:br/>
              <w:t>Securities</w:t>
              <w:br/>
              <w:t>Reflected in</w:t>
              <w:br/>
              <w:t>Columns (a))</w:t>
            </w:r>
            <w:r>
              <w:rPr>
                <w:rFonts w:ascii="Times New Roman;Times;Serif" w:hAnsi="Times New Roman;Times;Serif"/>
                <w:b/>
                <w:position w:val="7"/>
                <w:sz w:val="16"/>
                <w:sz w:val="20"/>
              </w:rPr>
              <w:t>(1)</w:t>
              <w:br/>
            </w:r>
            <w:r>
              <w:rPr>
                <w:rFonts w:ascii="Times New Roman;Times;Serif" w:hAnsi="Times New Roman;Times;Serif"/>
                <w:b/>
                <w:sz w:val="20"/>
              </w:rPr>
              <w:t>(#)</w:t>
            </w:r>
          </w:p>
        </w:tc>
        <w:tc>
          <w:tcPr>
            <w:tcW w:w="141"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Equity Compensation Plans Approved by Stockholders</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282"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5"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ind w:left="0" w:right="0" w:hanging="180"/>
              <w:jc w:val="left"/>
              <w:rPr/>
            </w:pPr>
            <w:r>
              <w:rPr/>
              <w:t> </w:t>
            </w:r>
          </w:p>
        </w:tc>
      </w:tr>
      <w:tr>
        <w:trPr/>
        <w:tc>
          <w:tcPr>
            <w:tcW w:w="2201" w:type="dxa"/>
            <w:tcBorders/>
            <w:shd w:fill="CCEEFF" w:val="clear"/>
            <w:vAlign w:val="center"/>
          </w:tcPr>
          <w:p>
            <w:pPr>
              <w:pStyle w:val="TableContents"/>
              <w:bidi w:val="0"/>
              <w:spacing w:before="0" w:after="283"/>
              <w:jc w:val="left"/>
              <w:rPr/>
            </w:pPr>
            <w:r>
              <w:rPr/>
              <w:t>2019 Plan</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450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428,779</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201" w:type="dxa"/>
            <w:tcBorders/>
            <w:vAlign w:val="center"/>
          </w:tcPr>
          <w:p>
            <w:pPr>
              <w:pStyle w:val="TableContents"/>
              <w:bidi w:val="0"/>
              <w:spacing w:before="0" w:after="283"/>
              <w:jc w:val="left"/>
              <w:rPr/>
            </w:pPr>
            <w:r>
              <w:rPr/>
              <w:t>2012 Plan</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6,800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299.75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603" w:type="dxa"/>
            <w:tcBorders/>
            <w:vAlign w:val="center"/>
          </w:tcPr>
          <w:p>
            <w:pPr>
              <w:pStyle w:val="TableContents"/>
              <w:bidi w:val="0"/>
              <w:spacing w:before="0" w:after="283"/>
              <w:jc w:val="right"/>
              <w:rPr/>
            </w:pPr>
            <w:r>
              <w:rPr/>
              <w:t>-</w:t>
            </w:r>
          </w:p>
        </w:tc>
        <w:tc>
          <w:tcPr>
            <w:tcW w:w="141" w:type="dxa"/>
            <w:tcBorders/>
            <w:vAlign w:val="center"/>
          </w:tcPr>
          <w:p>
            <w:pPr>
              <w:pStyle w:val="TableContents"/>
              <w:bidi w:val="0"/>
              <w:spacing w:before="0" w:after="283"/>
              <w:ind w:left="0" w:right="0" w:hanging="180"/>
              <w:jc w:val="left"/>
              <w:rPr/>
            </w:pPr>
            <w:r>
              <w:rPr/>
              <w:t> </w:t>
            </w:r>
          </w:p>
        </w:tc>
      </w:tr>
      <w:tr>
        <w:trPr/>
        <w:tc>
          <w:tcPr>
            <w:tcW w:w="2201" w:type="dxa"/>
            <w:tcBorders/>
            <w:shd w:fill="CCEEFF" w:val="clear"/>
            <w:vAlign w:val="center"/>
          </w:tcPr>
          <w:p>
            <w:pPr>
              <w:pStyle w:val="TableContents"/>
              <w:bidi w:val="0"/>
              <w:spacing w:before="0" w:after="283"/>
              <w:jc w:val="left"/>
              <w:rPr/>
            </w:pPr>
            <w:r>
              <w:rPr/>
              <w:t>2009 Plan</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9,275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294.78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ind w:left="0" w:right="0" w:hanging="180"/>
              <w:jc w:val="left"/>
              <w:rPr/>
            </w:pPr>
            <w:r>
              <w:rPr/>
              <w:t> </w:t>
            </w:r>
          </w:p>
        </w:tc>
      </w:tr>
      <w:tr>
        <w:trPr/>
        <w:tc>
          <w:tcPr>
            <w:tcW w:w="2201" w:type="dxa"/>
            <w:tcBorders/>
            <w:vAlign w:val="center"/>
          </w:tcPr>
          <w:p>
            <w:pPr>
              <w:pStyle w:val="TableContents"/>
              <w:bidi w:val="0"/>
              <w:spacing w:before="0" w:after="283"/>
              <w:jc w:val="left"/>
              <w:rPr/>
            </w:pPr>
            <w:r>
              <w:rPr/>
              <w:t>Equity Compensation Plans Not Approved by Stockholders</w:t>
            </w:r>
          </w:p>
        </w:tc>
        <w:tc>
          <w:tcPr>
            <w:tcW w:w="9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536"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603"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ind w:left="0" w:right="0" w:hanging="180"/>
              <w:jc w:val="left"/>
              <w:rPr/>
            </w:pPr>
            <w:r>
              <w:rPr/>
              <w:t> </w:t>
            </w:r>
          </w:p>
        </w:tc>
      </w:tr>
      <w:tr>
        <w:trPr/>
        <w:tc>
          <w:tcPr>
            <w:tcW w:w="2201" w:type="dxa"/>
            <w:tcBorders/>
            <w:shd w:fill="CCEEFF" w:val="clear"/>
            <w:vAlign w:val="center"/>
          </w:tcPr>
          <w:p>
            <w:pPr>
              <w:pStyle w:val="TableContents"/>
              <w:bidi w:val="0"/>
              <w:spacing w:before="0" w:after="283"/>
              <w:jc w:val="left"/>
              <w:rPr/>
            </w:pPr>
            <w:r>
              <w:rPr/>
              <w:t>None</w:t>
            </w:r>
          </w:p>
        </w:tc>
        <w:tc>
          <w:tcPr>
            <w:tcW w:w="9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603"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remaining shares of common stock available for future issuance is based on an assumption that the maximum performance goals for PSUs were achieved, where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2"/>
      <w:bookmarkEnd w:id="24"/>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Policy Relating to 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policy that we will not enter into any material transaction in which a director or officer has a direct or indirect financial interest unless the transaction is determined by our Board of Directors to be fair to us or is approved by a majority of our disinterested directors or by our stockholders, as provided for under Nevada law. Generally, our Board of Directors as a whole, other than an affected director, if applicable, determines whether a director or officer has a direct or indirect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any) financial interest in a transaction deemed material based upon our Code of Conduct and Ethics and Nevada law. From time to time, our Audit Committee, in accordance with its charter, will also review potential conflict of interest transactions involving members of our Board of Directors and our executive officers. The policy with respect to such transactions is provided in our Company’s Code of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compensation arrangements, we describe below transactions and series of similar transactions, since January 1, 2023, to which we were a party or will be a party, in which:</w:t>
      </w:r>
    </w:p>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68"/>
        <w:gridCol w:w="200"/>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involved exceeded or will exceed $120,000;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our directors, executive officers, or holders of more than 5% of our voting securities, or any member of the immediate family of the foregoing persons, had or will have a direct or indirect material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arrangements for our directors and NEOs are described elsewhere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Agreements with Rubric Capital Management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2022, we appointed Mr. Justin Roberts as a director to fill a newly created vacancy on the Board of Directors. As a director of the Company, Mr. Roberts is entitled to receive compensation in the same manner as our other non-employee directors,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and in accordance with the terms of the Certificate of Designation, the Company redeemed all 29,000 outstanding shares of the Company’s Series A Preferred Stock from Rubric at a purchase price of $1,333 per share. The Company also paid certain affiliates of Rubric approximately $3.0 million as a make-whole payment pursuant to the subscription agreements previously entered into between the Company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drawdowns in 2025 and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Independence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Item 10 - Directors, Executive Officers and Corporate Governance</w:t>
      </w:r>
      <w:r>
        <w:rPr>
          <w:rFonts w:ascii="Times New Roman;Times;Serif" w:hAnsi="Times New Roman;Times;Serif"/>
          <w:b w:val="false"/>
          <w:i w:val="false"/>
          <w:caps w:val="false"/>
          <w:smallCaps w:val="false"/>
          <w:sz w:val="20"/>
        </w:rPr>
        <w:t xml:space="preserve"> above for a discussion on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3"/>
      <w:bookmarkEnd w:id="25"/>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is Carr, Riggs &amp; Ingram, L.L.C. (“CRI”).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Audit Committee of the Board dismissed Berkowitz Pollack Brant, Advisors + CPAs (“BPB”) as our independent registered public accounting firm and appointed CRI for the fiscal year ending December 31, 2025. The dismissal was not related to any disagreement with BPB on any matter of accounting principles or practices, financial statement disclosure or auditing scope or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our Company for the fiscal year ended December 31, 2025 by CRI:</w:t>
      </w:r>
    </w:p>
    <w:p>
      <w:pPr>
        <w:pStyle w:val="TextBody"/>
        <w:bidi w:val="0"/>
        <w:spacing w:before="0" w:after="0"/>
        <w:ind w:left="0" w:right="0" w:hanging="0"/>
        <w:jc w:val="left"/>
        <w:rPr>
          <w:caps w:val="false"/>
          <w:smallCaps w:val="false"/>
        </w:rPr>
      </w:pPr>
      <w:r>
        <w:rPr>
          <w:caps w:val="false"/>
          <w:smallCaps w:val="false"/>
        </w:rPr>
        <w:t> </w:t>
      </w:r>
    </w:p>
    <w:tbl>
      <w:tblPr>
        <w:tblW w:w="3480" w:type="dxa"/>
        <w:jc w:val="left"/>
        <w:tblInd w:w="0" w:type="dxa"/>
        <w:tblLayout w:type="fixed"/>
        <w:tblCellMar>
          <w:top w:w="0" w:type="dxa"/>
          <w:left w:w="0" w:type="dxa"/>
          <w:bottom w:w="0" w:type="dxa"/>
          <w:right w:w="0" w:type="dxa"/>
        </w:tblCellMar>
      </w:tblPr>
      <w:tblGrid>
        <w:gridCol w:w="1745"/>
        <w:gridCol w:w="90"/>
        <w:gridCol w:w="90"/>
        <w:gridCol w:w="710"/>
        <w:gridCol w:w="90"/>
        <w:gridCol w:w="90"/>
        <w:gridCol w:w="221"/>
        <w:gridCol w:w="309"/>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our Company for the fiscal year ended December 31, 2025 and 2024 by BPB:</w:t>
      </w:r>
    </w:p>
    <w:p>
      <w:pPr>
        <w:pStyle w:val="TextBody"/>
        <w:bidi w:val="0"/>
        <w:spacing w:before="0" w:after="0"/>
        <w:ind w:left="0" w:right="0" w:hanging="0"/>
        <w:jc w:val="left"/>
        <w:rPr>
          <w:caps w:val="false"/>
          <w:smallCaps w:val="false"/>
        </w:rPr>
      </w:pPr>
      <w:r>
        <w:rPr>
          <w:caps w:val="false"/>
          <w:smallCaps w:val="false"/>
        </w:rPr>
        <w:t> </w:t>
      </w:r>
    </w:p>
    <w:tbl>
      <w:tblPr>
        <w:tblW w:w="3990" w:type="dxa"/>
        <w:jc w:val="left"/>
        <w:tblInd w:w="0" w:type="dxa"/>
        <w:tblLayout w:type="fixed"/>
        <w:tblCellMar>
          <w:top w:w="0" w:type="dxa"/>
          <w:left w:w="0" w:type="dxa"/>
          <w:bottom w:w="0" w:type="dxa"/>
          <w:right w:w="0" w:type="dxa"/>
        </w:tblCellMar>
      </w:tblPr>
      <w:tblGrid>
        <w:gridCol w:w="1745"/>
        <w:gridCol w:w="90"/>
        <w:gridCol w:w="90"/>
        <w:gridCol w:w="830"/>
        <w:gridCol w:w="90"/>
        <w:gridCol w:w="90"/>
        <w:gridCol w:w="90"/>
        <w:gridCol w:w="830"/>
        <w:gridCol w:w="135"/>
      </w:tblGrid>
      <w:tr>
        <w:trPr/>
        <w:tc>
          <w:tcPr>
            <w:tcW w:w="17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b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Audit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114,886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201,326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Audit-related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pPr>
            <w:r>
              <w:rPr/>
              <w:t>Tax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745" w:type="dxa"/>
            <w:tcBorders/>
            <w:vAlign w:val="center"/>
          </w:tcPr>
          <w:p>
            <w:pPr>
              <w:pStyle w:val="TableContents"/>
              <w:bidi w:val="0"/>
              <w:spacing w:before="0" w:after="283"/>
              <w:jc w:val="left"/>
              <w:rPr/>
            </w:pPr>
            <w:r>
              <w:rPr/>
              <w:t>All other fees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114,886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201,326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associated with the annual audit, reviews of our annual and quarterly reports, and other filings with the SEC as well as comfort letters and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Committee Pre-Approval Policies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our Audit Committee provides that the duties and responsibilities of our Audit Committee include the pre-approval, or adopting procedures for pre-approval, of all audit, audit-related, tax, and other services permitted by law or applicable SEC regulations (including fee and cost ranges) to be performed by our independent auditor. Any pre-approved services that will involve fees or costs exceeding pre-approved levels will also require specific pre-approval by the Audit Committee. Unless otherwise specified by the Audit Committee in pre-approving a service, the pre-approval will be effective for the 12-month period following pre-approval. The Audit Committee will not approve any non-audit services prohibited by applicable SEC regulations or any services in connection with a transaction initially recommended by the independent auditor, the purpose of which may be tax avoidance and the tax treatment of which may not be supported by the Internal Revenue Code and related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deemed appropriate, the Audit Committee may delegate pre-approval authority to the Chairperson of the Audit Committee or any one or more other members of the Audit Committee provided that any member of the Audit Committee who has exercised any such delegation must report any such pre-approval decision to the Audit Committee at its next scheduled meeting. The Audit Committee will not delegate to management the pre-approval of services to be performed by the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requires that our independent auditor, in conjunction with our Chief Financial Officer, be responsible for seeking pre-approval for providing services to us and that any request for pre-approval must inform the Audit Committee about each service to be provided and must provide detail as to the particular service to be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services provided by our independent registered public accounting firm described above were approved by our Audit Committee pursuant to our Audit Committee’s pre-approval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4"/>
      <w:bookmarkEnd w:id="26"/>
      <w:r>
        <w:rPr>
          <w:rFonts w:ascii="Times New Roman;Times;Serif" w:hAnsi="Times New Roman;Times;Serif"/>
          <w:b/>
          <w:i w:val="false"/>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5"/>
      <w:bookmarkEnd w:id="27"/>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60"/>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financial statements schedules</w:t>
            </w:r>
          </w:p>
        </w:tc>
      </w:tr>
    </w:tbl>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68"/>
        <w:gridCol w:w="275"/>
        <w:gridCol w:w="866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Statements are listed in the Index to Financial Statements on page F-1 of this 2025 10-K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48"/>
        <w:gridCol w:w="9852"/>
      </w:tblGrid>
      <w:tr>
        <w:trPr/>
        <w:tc>
          <w:tcPr>
            <w:tcW w:w="10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financial statement schedules are included because such schedules are not applicable, are not required, or because required information is included in the consolidated financial statements or notes thereto.</w:t>
            </w:r>
          </w:p>
        </w:tc>
      </w:tr>
    </w:tbl>
    <w:p>
      <w:pPr>
        <w:pStyle w:val="TextBody"/>
        <w:bidi w:val="0"/>
        <w:spacing w:before="0" w:after="0"/>
        <w:ind w:left="0" w:right="0" w:hanging="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68"/>
        <w:gridCol w:w="275"/>
        <w:gridCol w:w="80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8"/>
        <w:gridCol w:w="90"/>
        <w:gridCol w:w="9247"/>
      </w:tblGrid>
      <w:tr>
        <w:trPr/>
        <w:tc>
          <w:tcPr>
            <w:tcW w:w="8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90" w:type="dxa"/>
            <w:tcBorders/>
            <w:tcMar>
              <w:bottom w:w="0" w:type="dxa"/>
            </w:tcMar>
            <w:vAlign w:val="center"/>
          </w:tcPr>
          <w:p>
            <w:pPr>
              <w:pStyle w:val="TableContents"/>
              <w:bidi w:val="0"/>
              <w:spacing w:before="0" w:after="283"/>
              <w:jc w:val="left"/>
              <w:rPr/>
            </w:pPr>
            <w:r>
              <w:rPr/>
              <w:t> </w:t>
            </w:r>
          </w:p>
        </w:tc>
        <w:tc>
          <w:tcPr>
            <w:tcW w:w="9247"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868"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r>
              <w:rPr/>
              <w:t> </w:t>
            </w:r>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Agreement and Plan of Reorganization, dated July 6, 2009, among Croff Enterprises, Inc., AMHN Acquisition Corp., America’s Minority Health Network, Inc., and the Major Shareholders(1)</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4">
              <w:r>
                <w:rPr>
                  <w:rStyle w:val="InternetLink"/>
                  <w:rFonts w:ascii="Times New Roman;Times;Serif" w:hAnsi="Times New Roman;Times;Serif"/>
                  <w:sz w:val="20"/>
                </w:rPr>
                <w:t>Agreement and Plan of Reorganization, dated June 11, 2010, among AMHN, Inc., SHN Acquisition Corp., Spectrum Health Network, Inc., and the Sole Shareholder of Spectrum Health Network, Inc.(2)</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5">
              <w:r>
                <w:rPr>
                  <w:rStyle w:val="InternetLink"/>
                  <w:rFonts w:ascii="Times New Roman;Times;Serif" w:hAnsi="Times New Roman;Times;Serif"/>
                  <w:sz w:val="20"/>
                </w:rPr>
                <w:t>Croff Enterprises, Inc. Plan of Corporate Division and Reorganization, dated October 25, 2007 (3)</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6">
              <w:r>
                <w:rPr>
                  <w:rStyle w:val="InternetLink"/>
                  <w:rFonts w:ascii="Times New Roman;Times;Serif" w:hAnsi="Times New Roman;Times;Serif"/>
                  <w:sz w:val="20"/>
                </w:rPr>
                <w:t>Agreement and Plan of Merger, dated July 18, 2011, among vitaMedMD, LLC, AMHN, Inc., and vitaMed Acquisition, LLC(4)</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Stock Purchase Agreement, dated March 6, 2022, by and between TherapeuticsMD, Inc. and GoodRx, Inc. (5)</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Articles of Conversion of AMHN, Inc. filed in the State of Nevada, dated July 20, 2010 (6)</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Articles of Incorporation of AMHN, Inc. filed in the State of Nevada, dated July 20, 2010 (6)</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Composite Amended and Restated Articles of Incorporation of the Company, as amended (34)</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Bylaws of the AMHN, Inc. (7)</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First Amendment to Bylaws of the Company, dated December 17, 2015 (8)</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3">
              <w:r>
                <w:rPr>
                  <w:rStyle w:val="InternetLink"/>
                  <w:rFonts w:ascii="Times New Roman;Times;Serif" w:hAnsi="Times New Roman;Times;Serif"/>
                  <w:sz w:val="20"/>
                </w:rPr>
                <w:t>Second Amendment to Bylaws of the Company, adopted May 27, 2022 (9)</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3.7</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Third Amendment to Bylaws of the Company, dated July 29, 2022 (10)</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5">
              <w:r>
                <w:rPr>
                  <w:rStyle w:val="InternetLink"/>
                  <w:rFonts w:ascii="Times New Roman;Times;Serif" w:hAnsi="Times New Roman;Times;Serif"/>
                  <w:sz w:val="20"/>
                </w:rPr>
                <w:t>Certificate of Change to Articles of Incorporation of the Company (11)</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Certificate of Designation, Preferences and Rights of Series A Preferred Stock (10)</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7">
              <w:r>
                <w:rPr>
                  <w:rStyle w:val="InternetLink"/>
                  <w:rFonts w:ascii="Times New Roman;Times;Serif" w:hAnsi="Times New Roman;Times;Serif"/>
                  <w:sz w:val="20"/>
                </w:rPr>
                <w:t>Fourth Amendment to Bylaws of the Company, dated June 29, 2023 (12)</w:t>
              </w:r>
            </w:hyperlink>
          </w:p>
        </w:tc>
      </w:tr>
      <w:tr>
        <w:trPr/>
        <w:tc>
          <w:tcPr>
            <w:tcW w:w="868" w:type="dxa"/>
            <w:tcBorders/>
            <w:tcMar>
              <w:bottom w:w="0" w:type="dxa"/>
            </w:tcMar>
            <w:vAlign w:val="center"/>
          </w:tcPr>
          <w:p>
            <w:pPr>
              <w:pStyle w:val="TableContents"/>
              <w:bidi w:val="0"/>
              <w:spacing w:before="0" w:after="283"/>
              <w:jc w:val="left"/>
              <w:rPr/>
            </w:pPr>
            <w:r>
              <w:rPr/>
              <w:t>3.11</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18">
              <w:r>
                <w:rPr>
                  <w:rStyle w:val="InternetLink"/>
                </w:rPr>
                <w:t>Certificate of Amendment to Amended and Restated Articles of Incorporation, filed in the State of Nevada, dated January 5, 2026. (34)</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Form of Certificate of Common Stock (13)</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0">
              <w:r>
                <w:rPr>
                  <w:rStyle w:val="InternetLink"/>
                  <w:rFonts w:ascii="Times New Roman;Times;Serif" w:hAnsi="Times New Roman;Times;Serif"/>
                  <w:sz w:val="20"/>
                </w:rPr>
                <w:t>Description of Securities of the Company (14)</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Form of Common Stock Purchase Warrant (15)</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2">
              <w:r>
                <w:rPr>
                  <w:rStyle w:val="InternetLink"/>
                  <w:rFonts w:ascii="Times New Roman;Times;Serif" w:hAnsi="Times New Roman;Times;Serif"/>
                  <w:sz w:val="20"/>
                </w:rPr>
                <w:t>Form of Non-Qualified Stock Option Agreement (15)</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3">
              <w:r>
                <w:rPr>
                  <w:rStyle w:val="InternetLink"/>
                  <w:rFonts w:ascii="Times New Roman;Times;Serif" w:hAnsi="Times New Roman;Times;Serif"/>
                  <w:sz w:val="20"/>
                </w:rPr>
                <w:t>TherapeuticsMD, Inc. 2019 Stock Incentive Plan (16)</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"https://www.sec.gov/Archives/edgar/data/25743/000119312521116458/d152560ddef14a.htm" \l "tx152560_61"</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First Amendment to the TherapeuticsMD, Inc. 2019 Stock Incentive Plan (17)</w:t>
            </w:r>
            <w:r>
              <w:rPr>
                <w:rStyle w:val="InternetLink"/>
                <w:sz w:val="20"/>
                <w:rFonts w:ascii="Times New Roman;Times;Serif" w:hAnsi="Times New Roman;Times;Serif"/>
              </w:rPr>
              <w:fldChar w:fldCharType="end"/>
            </w:r>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Amended and Restated 2012 Stock Incentive Plan (18)</w:t>
              </w:r>
            </w:hyperlink>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5">
              <w:r>
                <w:rPr>
                  <w:rStyle w:val="InternetLink"/>
                  <w:rFonts w:ascii="Times New Roman;Times;Serif" w:hAnsi="Times New Roman;Times;Serif"/>
                  <w:sz w:val="20"/>
                </w:rPr>
                <w:t>2009 Long Term Incentive Compensation Plan, as amended (19)</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"http://www.sec.gov/Archives/edgar/data/25743/000138713120004409/txmd-def14a_061820.htm" \l "txmd_027"</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TherapeuticsMD, Inc. 2020 Employee Stock Purchase Plan (20)</w:t>
            </w:r>
            <w:r>
              <w:rPr>
                <w:rStyle w:val="InternetLink"/>
                <w:sz w:val="20"/>
                <w:rFonts w:ascii="Times New Roman;Times;Serif" w:hAnsi="Times New Roman;Times;Serif"/>
              </w:rPr>
              <w:fldChar w:fldCharType="end"/>
            </w:r>
          </w:p>
        </w:tc>
      </w:tr>
      <w:tr>
        <w:trPr/>
        <w:tc>
          <w:tcPr>
            <w:tcW w:w="86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0" w:type="dxa"/>
            <w:tcBorders/>
            <w:tcMar>
              <w:bottom w:w="0" w:type="dxa"/>
            </w:tcMar>
            <w:vAlign w:val="center"/>
          </w:tcPr>
          <w:p>
            <w:pPr>
              <w:pStyle w:val="TableContents"/>
              <w:bidi w:val="0"/>
              <w:spacing w:before="0" w:after="283"/>
              <w:jc w:val="left"/>
              <w:rPr/>
            </w:pPr>
            <w:r>
              <w:rPr/>
              <w:t> </w:t>
            </w:r>
          </w:p>
        </w:tc>
        <w:tc>
          <w:tcPr>
            <w:tcW w:w="9247"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Form of Warrant to Purchase Common Stock, dated August 5, 2020 (21)</w:t>
              </w:r>
            </w:hyperlink>
          </w:p>
        </w:tc>
      </w:tr>
      <w:tr>
        <w:trPr/>
        <w:tc>
          <w:tcPr>
            <w:tcW w:w="8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247" w:type="dxa"/>
            <w:tcBorders/>
            <w:shd w:fill="CCEEFF" w:val="clear"/>
            <w:tcMar>
              <w:bottom w:w="0" w:type="dxa"/>
            </w:tcMar>
            <w:vAlign w:val="center"/>
          </w:tcPr>
          <w:p>
            <w:pPr>
              <w:pStyle w:val="TableContents"/>
              <w:bidi w:val="0"/>
              <w:spacing w:before="0" w:after="283"/>
              <w:jc w:val="left"/>
              <w:rPr/>
            </w:pPr>
            <w:hyperlink r:id="rId27">
              <w:r>
                <w:rPr>
                  <w:rStyle w:val="InternetLink"/>
                  <w:rFonts w:ascii="Times New Roman;Times;Serif" w:hAnsi="Times New Roman;Times;Serif"/>
                  <w:sz w:val="20"/>
                </w:rPr>
                <w:t>Amendment to Company Warrant issued by the Company to the Subscribers party to that certain Subscription Agreement, dated as of August 5, 2020, dated November 8, 2020 (22)</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90"/>
        <w:gridCol w:w="9371"/>
      </w:tblGrid>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28">
              <w:r>
                <w:rPr>
                  <w:rStyle w:val="InternetLink"/>
                  <w:rFonts w:ascii="Times New Roman;Times;Serif" w:hAnsi="Times New Roman;Times;Serif"/>
                  <w:sz w:val="20"/>
                </w:rPr>
                <w:t>Second Amendment to Company Warrant issued by the Company to the Subscribers party to that certain Subscription Agreement, dated as of August 5, 2020 (23)</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Subscription Agreement, dated August 5, 2020, by and among TherapeuticsMD, Inc. and the Subscribers identified on the Schedule of Subscribers attached thereto (21)</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0">
              <w:r>
                <w:rPr>
                  <w:rStyle w:val="InternetLink"/>
                  <w:rFonts w:ascii="Times New Roman;Times;Serif" w:hAnsi="Times New Roman;Times;Serif"/>
                  <w:sz w:val="20"/>
                </w:rPr>
                <w:t>License Agreement, dated July 30, 2018, by and between TherapeuticsMD, Inc. and The Population Council, Inc. (24)</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Lease, dated October 5, 2018, by and between 951 Yamato Acquisition Company, LLC and TherapeuticsMD, Inc. (25)</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2">
              <w:r>
                <w:rPr>
                  <w:rStyle w:val="InternetLink"/>
                  <w:rFonts w:ascii="Times New Roman;Times;Serif" w:hAnsi="Times New Roman;Times;Serif"/>
                  <w:sz w:val="20"/>
                </w:rPr>
                <w:t>License and Supply Agreement, dated June 6, 2019, by and between TherapeuticsMD, Inc. and Theramex HQ UK Limited (26)</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Form of Indemnification Agreement between TherapeuticsMD, Inc. and each of its executive officers and directors (22)</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4">
              <w:r>
                <w:rPr>
                  <w:rStyle w:val="InternetLink"/>
                  <w:rFonts w:ascii="Times New Roman;Times;Serif" w:hAnsi="Times New Roman;Times;Serif"/>
                  <w:sz w:val="20"/>
                </w:rPr>
                <w:t>License Agreement by and between TherapeuticsMD, Inc. and Mayne Pharma LLC, dated December 4, 2022 (27)</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5">
              <w:r>
                <w:rPr>
                  <w:rStyle w:val="InternetLink"/>
                  <w:rFonts w:ascii="Times New Roman;Times;Serif" w:hAnsi="Times New Roman;Times;Serif"/>
                  <w:sz w:val="20"/>
                </w:rPr>
                <w:t>Transaction Agreement by and between TherapeuticsMD, Inc. and Mayne Pharma LLC, dated December 4, 2022 (27)</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6">
              <w:r>
                <w:rPr>
                  <w:rStyle w:val="InternetLink"/>
                  <w:rFonts w:ascii="Times New Roman;Times;Serif" w:hAnsi="Times New Roman;Times;Serif"/>
                  <w:sz w:val="20"/>
                </w:rPr>
                <w:t>Amendment No. 1 to the License Agreement between TherapeuticsMD, Inc. and Mayne Pharma LLC, dated as of December 30, 2022 (14)</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10.19</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7">
              <w:r>
                <w:rPr>
                  <w:rStyle w:val="InternetLink"/>
                  <w:rFonts w:ascii="Times New Roman;Times;Serif" w:hAnsi="Times New Roman;Times;Serif"/>
                  <w:sz w:val="20"/>
                </w:rPr>
                <w:t>Amendment No. 1 to the Transaction Agreement between TherapeuticsMD, Inc. and Mayne Pharma LLC, dated as of December 30, 2022 (14)</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10.20*</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38">
              <w:r>
                <w:rPr>
                  <w:rStyle w:val="InternetLink"/>
                  <w:rFonts w:ascii="Times New Roman;Times;Serif" w:hAnsi="Times New Roman;Times;Serif"/>
                  <w:sz w:val="20"/>
                </w:rPr>
                <w:t>Amended and Restated Employment Agreement, dated as of December 18, 2018, by and between TherapeuticsMD, Inc. and Marlan Walker (14)</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10.21*</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39">
              <w:r>
                <w:rPr>
                  <w:rStyle w:val="InternetLink"/>
                  <w:rFonts w:ascii="Times New Roman;Times;Serif" w:hAnsi="Times New Roman;Times;Serif"/>
                  <w:sz w:val="20"/>
                </w:rPr>
                <w:t>Amendment, effective October 15, 2021, to the Employment Agreement, dated as of December 18, 2018, by and between TherapeuticsMD, Inc. and Marlan Walker (14)</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10.22*</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0">
              <w:r>
                <w:rPr>
                  <w:rStyle w:val="InternetLink"/>
                  <w:rFonts w:ascii="Times New Roman;Times;Serif" w:hAnsi="Times New Roman;Times;Serif"/>
                  <w:sz w:val="20"/>
                </w:rPr>
                <w:t>Amendment, dated February 21, 2023, to the Employment Agreement, dated as of December 18, 2018, as extended effective October 15, 2021, by and between TherapeuticsMD, Inc. and Marlan Walker (28)</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10.23*</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Amendment, dated December 17, 2024, to the Employment Agreement, dated as of December 18, 2018, as extended effective February 21, 2023, by and between TherapeuticsMD, Inc. and Marlan Walker (33)</w:t>
              </w:r>
            </w:hyperlink>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10.24*</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2">
              <w:r>
                <w:rPr>
                  <w:rStyle w:val="InternetLink"/>
                  <w:rFonts w:ascii="Times New Roman;Times;Serif" w:hAnsi="Times New Roman;Times;Serif"/>
                  <w:sz w:val="20"/>
                </w:rPr>
                <w:t>General Consulting and Services Agreement by and between TherapeuticsMD, Inc. and MCD Consulting Management Services, LLC, dated February 21, 2023 (28)</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10.25</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r>
              <w:fldChar w:fldCharType="begin"/>
            </w:r>
            <w:r>
              <w:rPr>
                <w:rStyle w:val="InternetLink"/>
                <w:sz w:val="20"/>
                <w:rFonts w:ascii="Times New Roman;Times;Serif" w:hAnsi="Times New Roman;Times;Serif"/>
              </w:rPr>
              <w:instrText xml:space="preserve"> HYPERLINK "https://www.sec.gov/Archives/edgar/data/25743/000119312523147098/d256418ddef14a.htm" \l "tx256418_63"</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Subscription Agreement, dated May 1, 2023, between TherapeuticsMD, Inc. and Rubric Capital Management LP (29)</w:t>
            </w:r>
            <w:r>
              <w:rPr>
                <w:rStyle w:val="InternetLink"/>
                <w:sz w:val="20"/>
                <w:rFonts w:ascii="Times New Roman;Times;Serif" w:hAnsi="Times New Roman;Times;Serif"/>
              </w:rPr>
              <w:fldChar w:fldCharType="end"/>
            </w:r>
          </w:p>
        </w:tc>
      </w:tr>
      <w:tr>
        <w:trPr/>
        <w:tc>
          <w:tcPr>
            <w:tcW w:w="7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10.26*</w:t>
            </w:r>
          </w:p>
        </w:tc>
        <w:tc>
          <w:tcPr>
            <w:tcW w:w="90" w:type="dxa"/>
            <w:tcBorders/>
            <w:shd w:fill="CCEEFF" w:val="clear"/>
            <w:vAlign w:val="center"/>
          </w:tcPr>
          <w:p>
            <w:pPr>
              <w:pStyle w:val="TableContents"/>
              <w:bidi w:val="0"/>
              <w:spacing w:before="0" w:after="283"/>
              <w:jc w:val="left"/>
              <w:rPr/>
            </w:pPr>
            <w:r>
              <w:rPr/>
              <w:t> </w:t>
            </w:r>
          </w:p>
        </w:tc>
        <w:tc>
          <w:tcPr>
            <w:tcW w:w="9371" w:type="dxa"/>
            <w:tcBorders/>
            <w:shd w:fill="CCEEFF" w:val="clear"/>
            <w:vAlign w:val="center"/>
          </w:tcPr>
          <w:p>
            <w:pPr>
              <w:pStyle w:val="TableContents"/>
              <w:bidi w:val="0"/>
              <w:spacing w:before="0" w:after="283"/>
              <w:jc w:val="left"/>
              <w:rPr/>
            </w:pPr>
            <w:hyperlink r:id="rId43">
              <w:r>
                <w:rPr>
                  <w:rStyle w:val="InternetLink"/>
                  <w:rFonts w:ascii="Times New Roman;Times;Serif" w:hAnsi="Times New Roman;Times;Serif"/>
                  <w:sz w:val="20"/>
                </w:rPr>
                <w:t>Master Services Agreement, dated August 15, 2023, between TherapeuticsMD, Inc. and JZ Advisory Group (30)</w:t>
              </w:r>
            </w:hyperlink>
          </w:p>
        </w:tc>
      </w:tr>
      <w:tr>
        <w:trPr/>
        <w:tc>
          <w:tcPr>
            <w:tcW w:w="7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0" w:type="dxa"/>
            <w:tcBorders/>
            <w:vAlign w:val="center"/>
          </w:tcPr>
          <w:p>
            <w:pPr>
              <w:pStyle w:val="TableContents"/>
              <w:bidi w:val="0"/>
              <w:spacing w:before="0" w:after="283"/>
              <w:jc w:val="left"/>
              <w:rPr/>
            </w:pPr>
            <w:r>
              <w:rPr/>
              <w:t> </w:t>
            </w:r>
          </w:p>
        </w:tc>
        <w:tc>
          <w:tcPr>
            <w:tcW w:w="9371"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Letter from Berkowitz Pollack Brant Advisors + CPAs to the Securities and Exchange Commission, dated January 20, 2026 (32)</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
        <w:gridCol w:w="90"/>
        <w:gridCol w:w="9554"/>
      </w:tblGrid>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r:id="rId45">
              <w:r>
                <w:rPr>
                  <w:rStyle w:val="InternetLink"/>
                  <w:rFonts w:ascii="Times New Roman;Times;Serif" w:hAnsi="Times New Roman;Times;Serif"/>
                  <w:sz w:val="20"/>
                </w:rPr>
                <w:t>Insider Trading Policy (33)</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r:id="rId46">
              <w:r>
                <w:rPr>
                  <w:rStyle w:val="InternetLink"/>
                  <w:rFonts w:ascii="Times New Roman;Times;Serif" w:hAnsi="Times New Roman;Times;Serif"/>
                  <w:sz w:val="20"/>
                </w:rPr>
                <w:t>Subsidiaries of the Company (34)</w:t>
              </w:r>
            </w:hyperlink>
          </w:p>
        </w:tc>
      </w:tr>
      <w:tr>
        <w:trPr/>
        <w:tc>
          <w:tcPr>
            <w:tcW w:w="561" w:type="dxa"/>
            <w:tcBorders/>
            <w:shd w:fill="CCEEFF" w:val="clear"/>
            <w:vAlign w:val="center"/>
          </w:tcPr>
          <w:p>
            <w:pPr>
              <w:pStyle w:val="TableContents"/>
              <w:bidi w:val="0"/>
              <w:spacing w:before="0" w:after="283"/>
              <w:jc w:val="left"/>
              <w:rPr/>
            </w:pPr>
            <w:r>
              <w:rPr/>
              <w:t>23.1†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w:anchor="ea027599202ex23-1.htm">
              <w:r>
                <w:rPr>
                  <w:rStyle w:val="InternetLink"/>
                </w:rPr>
                <w:t>Consent of Berkowitz Pollack Brant</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w:anchor="ea027599202ex23-2.htm">
              <w:r>
                <w:rPr>
                  <w:rStyle w:val="InternetLink"/>
                  <w:rFonts w:ascii="Times New Roman;Times;Serif" w:hAnsi="Times New Roman;Times;Serif"/>
                  <w:b w:val="false"/>
                  <w:i w:val="false"/>
                  <w:caps w:val="false"/>
                  <w:smallCaps w:val="false"/>
                  <w:sz w:val="20"/>
                </w:rPr>
                <w:t>Consent of Carr, Riggs &amp; Ingram, L.L.C.</w:t>
              </w:r>
            </w:hyperlink>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w:anchor="ea027599202ex31-1.htm">
              <w:r>
                <w:rPr>
                  <w:rStyle w:val="InternetLink"/>
                  <w:rFonts w:ascii="Times New Roman;Times;Serif" w:hAnsi="Times New Roman;Times;Serif"/>
                  <w:sz w:val="20"/>
                </w:rPr>
                <w:t>Certification of Chief Executive Officer pursuant to Rule 13a-14(a) and Rule 15d-14(a)</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w:anchor="ea027599202ex31-2.htm">
              <w:r>
                <w:rPr>
                  <w:rStyle w:val="InternetLink"/>
                  <w:rFonts w:ascii="Times New Roman;Times;Serif" w:hAnsi="Times New Roman;Times;Serif"/>
                  <w:sz w:val="20"/>
                </w:rPr>
                <w:t>Certification of Chief Financial Officer pursuant to Rule 13a-14(a) and Rule 15d-14(a)</w:t>
              </w:r>
            </w:hyperlink>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w:anchor="ea027599202ex32-1.htm">
              <w:r>
                <w:rPr>
                  <w:rStyle w:val="InternetLink"/>
                  <w:rFonts w:ascii="Times New Roman;Times;Serif" w:hAnsi="Times New Roman;Times;Serif"/>
                  <w:sz w:val="20"/>
                </w:rPr>
                <w:t>Section 1350 Certification of Chief Executive Officer</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pPr>
            <w:hyperlink w:anchor="ea027599202ex32-2.htm">
              <w:r>
                <w:rPr>
                  <w:rStyle w:val="InternetLink"/>
                  <w:rFonts w:ascii="Times New Roman;Times;Serif" w:hAnsi="Times New Roman;Times;Serif"/>
                  <w:sz w:val="20"/>
                </w:rPr>
                <w:t>Section 1350 Certification of Chief Financial Officer</w:t>
              </w:r>
            </w:hyperlink>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pPr>
            <w:hyperlink r:id="rId47">
              <w:r>
                <w:rPr>
                  <w:rStyle w:val="InternetLink"/>
                  <w:rFonts w:ascii="Times New Roman;Times;Serif" w:hAnsi="Times New Roman;Times;Serif"/>
                  <w:sz w:val="20"/>
                </w:rPr>
                <w:t>TherapeuticsMD, Inc. Policy on Recoupment of Incentive Compensation (31)</w:t>
              </w:r>
            </w:hyperlink>
          </w:p>
        </w:tc>
      </w:tr>
      <w:tr>
        <w:trPr/>
        <w:tc>
          <w:tcPr>
            <w:tcW w:w="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0" w:type="dxa"/>
            <w:tcBorders/>
            <w:vAlign w:val="center"/>
          </w:tcPr>
          <w:p>
            <w:pPr>
              <w:pStyle w:val="TableContents"/>
              <w:bidi w:val="0"/>
              <w:spacing w:before="0" w:after="283"/>
              <w:jc w:val="left"/>
              <w:rPr/>
            </w:pPr>
            <w:r>
              <w:rPr/>
              <w:t> </w:t>
            </w:r>
          </w:p>
        </w:tc>
        <w:tc>
          <w:tcPr>
            <w:tcW w:w="95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Document Set for the consolidated financial statements and accompanying notes in Part IV, Item 15(a), “Financial Statements and Financial Statements Schedules” of this Annual Report on Form 10-K</w:t>
            </w:r>
          </w:p>
        </w:tc>
      </w:tr>
      <w:tr>
        <w:trPr/>
        <w:tc>
          <w:tcPr>
            <w:tcW w:w="5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95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Annual Report on 10-K, included in the Exhibit 101 Inline XBRL Document Set</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70"/>
        <w:gridCol w:w="626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Indicates a contract with management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confidential material contained in the document has been omitted and filed separately with the Securities and Exchange Commission. Confidential treatment has been granted with respect to this omitted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Portions of this exhibit have been redacted in compliance with Regulation S-K Item 601(b)(2). The omitted information is not material and would likely cause competitive harm to the Company if publicly disclosed.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Item 601(a)(5) of Regulation S-K. The Company agrees to furnish a copy of all omitted exhibits and schedules to the SEC upon its request.</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85"/>
        <w:gridCol w:w="1310"/>
      </w:tblGrid>
      <w:tr>
        <w:trPr/>
        <w:tc>
          <w:tcPr>
            <w:tcW w:w="185"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05"/>
        <w:gridCol w:w="1700"/>
      </w:tblGrid>
      <w:tr>
        <w:trPr/>
        <w:tc>
          <w:tcPr>
            <w:tcW w:w="305"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July 10, 2009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June 14,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2007 filed with the Commission on May 1, 2008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July 21, 2011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March 10,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June 30, 2010 filed with the Commission on August 3,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Definitive 14C Information Statement filed with the Commission on June 29, 2010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December 22, 2015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June 3, 2022 and incorporated herein by reference (SEC File No. 001-00100).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August 1,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May 9, 2022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July 6,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S-3 filed with the Commission on January 25, 2013 and incorporated hereby by reference (SEC File No. 333-186189).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2022 filed with the Commission on April 7, 2023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October 11, 2011 and incorporated herein by reference (SEC File No. 000-16731).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S-8 filed with the Commission on June 21, 2019 and incorporated herein by reference (SEC File No. 333-232268).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appendix to the Definitive Proxy Statement filed with the Commission on April 14, 2021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
        <w:gridCol w:w="9821"/>
      </w:tblGrid>
      <w:tr>
        <w:trPr/>
        <w:tc>
          <w:tcPr>
            <w:tcW w:w="3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8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August 22, 2013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Registration Statement on Form S-8 filed with the Commission on October 15, 2013 and incorporated herein by reference (SEC File No. 333-191730).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appendix to the Definitive Proxy Statement filed with the Commission on May 4,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June 30, 2020 filed with the Commission on August 7,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
        <w:gridCol w:w="9822"/>
      </w:tblGrid>
      <w:tr>
        <w:trPr/>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8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filed with the Commission on November 9, 2020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3"/>
        <w:gridCol w:w="9832"/>
      </w:tblGrid>
      <w:tr>
        <w:trPr/>
        <w:tc>
          <w:tcPr>
            <w:tcW w:w="3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2020 filed with the Commission on March 4, 2021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September 30, 2018 filed with the Commission on November 8, 2018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September 30, 2019 filed with the Commission on November 8, 2019 and incorporated herein by reference (SEC File No. 001-00100).</w:t>
            </w:r>
          </w:p>
        </w:tc>
      </w:tr>
      <w:tr>
        <w:trPr/>
        <w:tc>
          <w:tcPr>
            <w:tcW w:w="371" w:type="dxa"/>
            <w:tcBorders/>
            <w:vAlign w:val="center"/>
          </w:tcPr>
          <w:p>
            <w:pPr>
              <w:pStyle w:val="TableContents"/>
              <w:bidi w:val="0"/>
              <w:spacing w:before="0" w:after="283"/>
              <w:jc w:val="left"/>
              <w:rPr/>
            </w:pPr>
            <w:r>
              <w:rPr/>
              <w:t> </w:t>
            </w:r>
          </w:p>
        </w:tc>
        <w:tc>
          <w:tcPr>
            <w:tcW w:w="9834" w:type="dxa"/>
            <w:tcBorders/>
            <w:vAlign w:val="center"/>
          </w:tcPr>
          <w:p>
            <w:pPr>
              <w:pStyle w:val="TableContents"/>
              <w:bidi w:val="0"/>
              <w:spacing w:before="0" w:after="283"/>
              <w:jc w:val="left"/>
              <w:rPr/>
            </w:pPr>
            <w:r>
              <w:rPr/>
              <w:t> </w:t>
            </w:r>
          </w:p>
        </w:tc>
      </w:tr>
      <w:tr>
        <w:trPr/>
        <w:tc>
          <w:tcPr>
            <w:tcW w:w="3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8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June 30, 2019 filed with the Commission on August 9, 2019 and incorporated herein by reference (SEC File No. 001-00100).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9"/>
        <w:gridCol w:w="9786"/>
      </w:tblGrid>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December 5, 2022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8-K filed with the Commission on February 27, 2023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appendix to the Definitive Proxy Statement filed with the Commission on May 17, 2023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10-Q for the quarter ended September 30, 2023, filed with the Commission on November 14, 2023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7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as an exhibit to Form 10-K for the year ended December 31, 2023 filed with the Commission on March 29, 2024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(32)</w:t>
            </w:r>
          </w:p>
        </w:tc>
        <w:tc>
          <w:tcPr>
            <w:tcW w:w="9786" w:type="dxa"/>
            <w:tcBorders/>
            <w:vAlign w:val="center"/>
          </w:tcPr>
          <w:p>
            <w:pPr>
              <w:pStyle w:val="TableContents"/>
              <w:bidi w:val="0"/>
              <w:spacing w:before="0" w:after="283"/>
              <w:jc w:val="left"/>
              <w:rPr/>
            </w:pPr>
            <w:r>
              <w:rPr/>
              <w:t>Filed as an exhibit to Form 8-K filed with the Commission on January 20, 2026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(33)</w:t>
            </w:r>
          </w:p>
        </w:tc>
        <w:tc>
          <w:tcPr>
            <w:tcW w:w="9786" w:type="dxa"/>
            <w:tcBorders/>
            <w:vAlign w:val="center"/>
          </w:tcPr>
          <w:p>
            <w:pPr>
              <w:pStyle w:val="TableContents"/>
              <w:bidi w:val="0"/>
              <w:spacing w:before="0" w:after="283"/>
              <w:jc w:val="left"/>
              <w:rPr/>
            </w:pPr>
            <w:r>
              <w:rPr/>
              <w:t>Filed as an exhibit to Form 10-K for the year ended December 31, 2024 filed with the Commission on March 27, 2025 and incorporated herein by reference (SEC File No. 001-00100).</w:t>
            </w:r>
          </w:p>
        </w:tc>
      </w:tr>
      <w:tr>
        <w:trPr/>
        <w:tc>
          <w:tcPr>
            <w:tcW w:w="419" w:type="dxa"/>
            <w:tcBorders/>
            <w:vAlign w:val="center"/>
          </w:tcPr>
          <w:p>
            <w:pPr>
              <w:pStyle w:val="TableContents"/>
              <w:bidi w:val="0"/>
              <w:spacing w:before="0" w:after="283"/>
              <w:jc w:val="left"/>
              <w:rPr/>
            </w:pPr>
            <w:r>
              <w:rPr/>
              <w:t> </w:t>
            </w:r>
          </w:p>
        </w:tc>
        <w:tc>
          <w:tcPr>
            <w:tcW w:w="9786" w:type="dxa"/>
            <w:tcBorders/>
            <w:vAlign w:val="center"/>
          </w:tcPr>
          <w:p>
            <w:pPr>
              <w:pStyle w:val="TableContents"/>
              <w:bidi w:val="0"/>
              <w:spacing w:before="0" w:after="283"/>
              <w:jc w:val="left"/>
              <w:rPr/>
            </w:pPr>
            <w:r>
              <w:rPr/>
              <w:t> </w:t>
            </w:r>
          </w:p>
        </w:tc>
      </w:tr>
      <w:tr>
        <w:trPr/>
        <w:tc>
          <w:tcPr>
            <w:tcW w:w="419" w:type="dxa"/>
            <w:tcBorders/>
            <w:vAlign w:val="center"/>
          </w:tcPr>
          <w:p>
            <w:pPr>
              <w:pStyle w:val="TableContents"/>
              <w:bidi w:val="0"/>
              <w:spacing w:before="0" w:after="283"/>
              <w:jc w:val="left"/>
              <w:rPr/>
            </w:pPr>
            <w:r>
              <w:rPr/>
              <w:t>(34)</w:t>
            </w:r>
          </w:p>
        </w:tc>
        <w:tc>
          <w:tcPr>
            <w:tcW w:w="9786" w:type="dxa"/>
            <w:tcBorders/>
            <w:vAlign w:val="center"/>
          </w:tcPr>
          <w:p>
            <w:pPr>
              <w:pStyle w:val="TableContents"/>
              <w:bidi w:val="0"/>
              <w:spacing w:before="0" w:after="283"/>
              <w:jc w:val="left"/>
              <w:rPr/>
            </w:pPr>
            <w:r>
              <w:rPr/>
              <w:t>Filed as an exhibit to Form 10-K for the year ended December 31, 2025 filed with the Commission on March 30, 2026 and incorporated herein by reference (SEC File No. 001-00100).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6"/>
      <w:bookmarkEnd w:id="28"/>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2025 10-K/A Report to be signed on its behalf by the undersigned, thereunto duly authorized, on March 31, 2026.</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2270"/>
        <w:gridCol w:w="13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THERAPEUTICSMD, INC.</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c>
          <w:tcPr>
            <w:tcW w:w="13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2025 10-K/A Report to be signed on its behalf by the undersigned, thereunto duly authorized, on March 31, 2026.</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28" w:type="dxa"/>
          <w:right w:w="0" w:type="dxa"/>
        </w:tblCellMar>
      </w:tblPr>
      <w:tblGrid>
        <w:gridCol w:w="2255"/>
        <w:gridCol w:w="90"/>
        <w:gridCol w:w="3590"/>
      </w:tblGrid>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9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Tommy G. Thompson</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Tommy G. Thompson</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Cooper C. Collins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Cooper C. Collins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Gail K. Naughton, Ph.D.</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Gail K. Naughton, Ph.D.</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r>
        <w:trPr/>
        <w:tc>
          <w:tcPr>
            <w:tcW w:w="2255"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Justin Roberts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Justin Roberts</w:t>
            </w:r>
          </w:p>
        </w:tc>
        <w:tc>
          <w:tcPr>
            <w:tcW w:w="9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8210"/>
        <w:gridCol w:w="485"/>
      </w:tblGrid>
      <w:tr>
        <w:trPr/>
        <w:tc>
          <w:tcPr>
            <w:tcW w:w="8210" w:type="dxa"/>
            <w:tcBorders/>
            <w:vAlign w:val="center"/>
          </w:tcPr>
          <w:p>
            <w:pPr>
              <w:pStyle w:val="TableContents"/>
              <w:bidi w:val="0"/>
              <w:spacing w:before="0" w:after="283"/>
              <w:ind w:left="0" w:right="0" w:hanging="180"/>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Page</w:t>
            </w:r>
          </w:p>
        </w:tc>
      </w:tr>
      <w:tr>
        <w:trPr/>
        <w:tc>
          <w:tcPr>
            <w:tcW w:w="8210" w:type="dxa"/>
            <w:tcBorders/>
            <w:shd w:fill="CCEEFF" w:val="clear"/>
            <w:vAlign w:val="center"/>
          </w:tcPr>
          <w:p>
            <w:pPr>
              <w:pStyle w:val="TableContents"/>
              <w:bidi w:val="0"/>
              <w:spacing w:before="0" w:after="283"/>
              <w:jc w:val="left"/>
              <w:rPr/>
            </w:pPr>
            <w:hyperlink w:anchor="a_026a">
              <w:r>
                <w:rPr>
                  <w:rStyle w:val="InternetLink"/>
                </w:rPr>
                <w:t>Report of Independent Registered Public Accounting Firm (PCAOB ID Number 213)</w:t>
              </w:r>
            </w:hyperlink>
          </w:p>
        </w:tc>
        <w:tc>
          <w:tcPr>
            <w:tcW w:w="485" w:type="dxa"/>
            <w:tcBorders/>
            <w:shd w:fill="CCEEFF" w:val="clear"/>
            <w:vAlign w:val="center"/>
          </w:tcPr>
          <w:p>
            <w:pPr>
              <w:pStyle w:val="TableContents"/>
              <w:bidi w:val="0"/>
              <w:spacing w:before="0" w:after="283"/>
              <w:ind w:left="0" w:right="0" w:hanging="180"/>
              <w:jc w:val="center"/>
              <w:rPr/>
            </w:pPr>
            <w:r>
              <w:rPr/>
              <w:t>F-2</w:t>
            </w:r>
          </w:p>
        </w:tc>
      </w:tr>
      <w:tr>
        <w:trPr/>
        <w:tc>
          <w:tcPr>
            <w:tcW w:w="8210" w:type="dxa"/>
            <w:tcBorders/>
            <w:vAlign w:val="center"/>
          </w:tcPr>
          <w:p>
            <w:pPr>
              <w:pStyle w:val="TableContents"/>
              <w:bidi w:val="0"/>
              <w:spacing w:before="0" w:after="283"/>
              <w:jc w:val="left"/>
              <w:rPr/>
            </w:pPr>
            <w:hyperlink w:anchor="a_027">
              <w:r>
                <w:rPr>
                  <w:rStyle w:val="InternetLink"/>
                </w:rPr>
                <w:t>Report of Independent Registered Public Accounting Firm (PCAOB ID Number 52)</w:t>
              </w:r>
            </w:hyperlink>
          </w:p>
        </w:tc>
        <w:tc>
          <w:tcPr>
            <w:tcW w:w="485" w:type="dxa"/>
            <w:tcBorders/>
            <w:vAlign w:val="center"/>
          </w:tcPr>
          <w:p>
            <w:pPr>
              <w:pStyle w:val="TableContents"/>
              <w:bidi w:val="0"/>
              <w:spacing w:before="0" w:after="283"/>
              <w:ind w:left="0" w:right="0" w:hanging="180"/>
              <w:jc w:val="center"/>
              <w:rPr/>
            </w:pPr>
            <w:r>
              <w:rPr/>
              <w:t>F-4</w:t>
            </w:r>
          </w:p>
        </w:tc>
      </w:tr>
      <w:tr>
        <w:trPr/>
        <w:tc>
          <w:tcPr>
            <w:tcW w:w="8210"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Consolidated Balance Sheets</w:t>
              </w:r>
            </w:hyperlink>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8210" w:type="dxa"/>
            <w:tcBorders/>
            <w:vAlign w:val="center"/>
          </w:tcPr>
          <w:p>
            <w:pPr>
              <w:pStyle w:val="TableContents"/>
              <w:bidi w:val="0"/>
              <w:spacing w:before="0" w:after="283"/>
              <w:jc w:val="left"/>
              <w:rPr/>
            </w:pPr>
            <w:hyperlink w:anchor="a_029">
              <w:r>
                <w:rPr>
                  <w:rStyle w:val="InternetLink"/>
                  <w:rFonts w:ascii="Times New Roman;Times;Serif" w:hAnsi="Times New Roman;Times;Serif"/>
                  <w:sz w:val="20"/>
                </w:rPr>
                <w:t>Consolidated Statements of Operations</w:t>
              </w:r>
            </w:hyperlink>
          </w:p>
        </w:tc>
        <w:tc>
          <w:tcPr>
            <w:tcW w:w="4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F-7</w:t>
            </w:r>
          </w:p>
        </w:tc>
      </w:tr>
      <w:tr>
        <w:trPr/>
        <w:tc>
          <w:tcPr>
            <w:tcW w:w="8210"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Consolidated Statements of Stockholders’ (Deficit) Equity</w:t>
              </w:r>
            </w:hyperlink>
          </w:p>
        </w:tc>
        <w:tc>
          <w:tcPr>
            <w:tcW w:w="48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F-8</w:t>
            </w:r>
          </w:p>
        </w:tc>
      </w:tr>
      <w:tr>
        <w:trPr/>
        <w:tc>
          <w:tcPr>
            <w:tcW w:w="8210" w:type="dxa"/>
            <w:tcBorders/>
            <w:vAlign w:val="center"/>
          </w:tcPr>
          <w:p>
            <w:pPr>
              <w:pStyle w:val="TableContents"/>
              <w:bidi w:val="0"/>
              <w:spacing w:before="0" w:after="283"/>
              <w:jc w:val="left"/>
              <w:rPr/>
            </w:pPr>
            <w:hyperlink w:anchor="a_031">
              <w:r>
                <w:rPr>
                  <w:rStyle w:val="InternetLink"/>
                  <w:rFonts w:ascii="Times New Roman;Times;Serif" w:hAnsi="Times New Roman;Times;Serif"/>
                  <w:sz w:val="20"/>
                </w:rPr>
                <w:t>Consolidated Statements of Cash Flows</w:t>
              </w:r>
            </w:hyperlink>
          </w:p>
        </w:tc>
        <w:tc>
          <w:tcPr>
            <w:tcW w:w="485"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F-9</w:t>
            </w:r>
          </w:p>
        </w:tc>
      </w:tr>
      <w:tr>
        <w:trPr/>
        <w:tc>
          <w:tcPr>
            <w:tcW w:w="8210"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Notes to Consolidated Financial Statements</w:t>
              </w:r>
            </w:hyperlink>
          </w:p>
        </w:tc>
        <w:tc>
          <w:tcPr>
            <w:tcW w:w="4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26a"/>
      <w:bookmarkEnd w:id="2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TherapeuticsMD, Inc. and Subsidiaries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TherapeuticsMD, Inc. and Subsidiaries (the “Company”) as of December 31, 2025, and the related consolidated statement of operations,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recent change in operations and continued net losses along with other conditions as set forth in Note 1,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our audit provides a reasonable basis for our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is communicated or required to be communicated to the audit committee and that: (1) relates to accounts or disclosures that are material to the consolidated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Mayne Pharma, LLC Allowance for Rebates, Returns, and Wholesale Distributor Fees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in Note 1 to the consolidated financial statements, the Company determined the acquisition of net working capital by Mayne Pharma, LLC in accordance with the Transaction Agreement. The Transaction Agreement included significant estimates, which are subject to change for a period of up to two years. The Company received financial claims from Mayne Pharma, LLC in the current year related to this agreement for amounts owed under the provisions of the Transaction Agreement related to wholesale distributor fees, returns, rebates of licensed products. The Company does not believe these claims are substantiated and thus, did not record an amount due to the licensee as of December 31, 2025. As disclosed in the consolidated financial statements, the Company has filed a lawsuit against Mayne Pharma, LLC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LLC relating thereto. Mayne Pharma, LLC then filed a lawsuit against the Company seeking damages for breach of contract and fraudulent inducement related to the Transaction Agreement. We identified the estimated allowance for rebates, returns, and wholesale distributor fees as a critical audit matter. This determination was primarily driven by the subjectivity inherent in the estimates, the significant auditor judgment involved, and the level of effort required to evaluate management’s supporting evidence. This includes assessing key assumptions related to allowances for rebates, returns, and wholesale distributor fees, as well as management’s assertion that no additional liabilities will be incurred.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performed to address the critical matter included, among others:</w:t>
      </w:r>
    </w:p>
    <w:p>
      <w:pPr>
        <w:pStyle w:val="TextBody"/>
        <w:bidi w:val="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105"/>
        <w:gridCol w:w="200"/>
        <w:gridCol w:w="5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letters sent to the licensee in response to financial claims.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original Transaction Agreement and subsequent amendments.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an understanding of change that occurred during the year (if any) as it relates to rebates and returns analysis performed by the Company.</w:t>
            </w:r>
          </w:p>
        </w:tc>
      </w:tr>
    </w:tbl>
    <w:p>
      <w:pPr>
        <w:pStyle w:val="TextBody"/>
        <w:bidi w:val="0"/>
        <w:jc w:val="left"/>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4070"/>
        <w:gridCol w:w="404"/>
      </w:tblGrid>
      <w:tr>
        <w:trPr/>
        <w:tc>
          <w:tcPr>
            <w:tcW w:w="44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Carr, Riggs &amp; Ingram, L.L.C.</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2026.</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Beach Gardens, FL</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40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27"/>
      <w:bookmarkEnd w:id="3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br/>
        <w:t>Stockholders of TherapeuticsMD, Inc. and Subsidiaries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TherapeuticsMD, Inc. and Subsidiaries (the “Company”) as of December 31, 2024 and 2023, and the related consolidated statements of operations, stockholders’ equity,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recent change in operations and negative cash flow position along with other conditions as set forth in Note 1,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provides a reasonable basis for our opinion.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Net Working Capital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further in Note 1 to the consolidated financial statements, the Company determined the acquisition of net working capital by Mayne Pharma, LLC in accordance with the Transaction Agreement. The Transaction Agreement included significant estimates, which are subject to change for a period of up to two years. The Company received financial claims from Mayne Pharma, LLC related to this agreement for amounts owed under the provisions of the Transaction Agreement related to distributor fees, rebates and returns of licensed products. The Company does not believe these claims are substantiated and thus, did not record an amount due to the licensee as of December 31, 2024. We identified the acquisition of net working capital as a critical audit matter. The principal consideration for our determination that the acquisition of net working capital pursuant to the provisions of the Transaction Agreement as a critical audit matter is due to the significant estimates and judgements required by management when determining the inputs and assumptions utilized in the development of the initial net working capital calculation included in the Transaction Agreement. The subjectivity of the estimates increases the level of estimation uncertainty, auditor judgement and level of effort required to evaluate management’s evidence supporting the projected final net working capital acquisition amount as it relates to the allowance for returns, rebates and distributor fees, including assumptions that no further liability will be incurred.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performed to address the critical matter included, among others:</w:t>
      </w:r>
    </w:p>
    <w:p>
      <w:pPr>
        <w:pStyle w:val="TextBody"/>
        <w:bidi w:val="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letter sent to the licensee in response to financial claims.</w:t>
            </w:r>
          </w:p>
        </w:tc>
      </w:tr>
    </w:tbl>
    <w:p>
      <w:pPr>
        <w:pStyle w:val="TextBody"/>
        <w:bidi w:val="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original Transaction Agreement and subsequent amendments.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rebates and returns analysis performed by the Company, assess method utilized, calculation, and conclusion reached for reasonableness.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Berkowitz Pollack Brant, Advisors + CPAs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28"/>
      <w:bookmarkEnd w:id="31"/>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0"/>
        <w:gridCol w:w="90"/>
        <w:gridCol w:w="170"/>
        <w:gridCol w:w="905"/>
        <w:gridCol w:w="125"/>
        <w:gridCol w:w="90"/>
        <w:gridCol w:w="170"/>
        <w:gridCol w:w="905"/>
        <w:gridCol w:w="170"/>
      </w:tblGrid>
      <w:tr>
        <w:trPr/>
        <w:tc>
          <w:tcPr>
            <w:tcW w:w="7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7,483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5,059</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Royalty receivable, current portion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3,562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Prepaid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3,437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3,638</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14,445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12,259</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License rights and other intangible assets,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4,321</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Right of use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5,293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6,102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Royalty receivable, long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13,713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16,010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130</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37,656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38,822</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377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258</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2,127</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Current liabilities of discontinued operations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2,667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2,781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5,166</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5,542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Other non-current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873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744</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10,780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11,452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Commitments and contingencies (Note 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pPr>
            <w:r>
              <w:rPr/>
              <w:t>Common stock, par value $0.001; 32,000 and 32,000 shares authorized, 11,574 and 11,532 issued and outstanding as of December 31,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979,256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979,181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(952,391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(951,822</w:t>
            </w:r>
          </w:p>
        </w:tc>
        <w:tc>
          <w:tcPr>
            <w:tcW w:w="170" w:type="dxa"/>
            <w:tcBorders/>
            <w:shd w:fill="CCEEFF" w:val="clear"/>
            <w:vAlign w:val="center"/>
          </w:tcPr>
          <w:p>
            <w:pPr>
              <w:pStyle w:val="TableContents"/>
              <w:bidi w:val="0"/>
              <w:spacing w:before="0" w:after="283"/>
              <w:jc w:val="left"/>
              <w:rPr/>
            </w:pPr>
            <w:r>
              <w:rPr/>
              <w:t>)</w:t>
            </w:r>
          </w:p>
        </w:tc>
      </w:tr>
      <w:tr>
        <w:trPr/>
        <w:tc>
          <w:tcPr>
            <w:tcW w:w="758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26,876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27,370</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37,656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38,822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29"/>
      <w:bookmarkEnd w:id="32"/>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amounts)</w:t>
      </w:r>
    </w:p>
    <w:p>
      <w:pPr>
        <w:pStyle w:val="TextBody"/>
        <w:bidi w:val="0"/>
        <w:spacing w:before="0" w:after="0"/>
        <w:ind w:left="40" w:right="0" w:hanging="0"/>
        <w:jc w:val="center"/>
        <w:rPr>
          <w:caps w:val="false"/>
          <w:smallCaps w:val="false"/>
        </w:rPr>
      </w:pPr>
      <w:r>
        <w:rPr>
          <w:caps w:val="false"/>
          <w:smallCaps w:val="false"/>
        </w:rPr>
        <w:t> </w:t>
      </w:r>
    </w:p>
    <w:tbl>
      <w:tblPr>
        <w:tblW w:w="8412" w:type="dxa"/>
        <w:jc w:val="left"/>
        <w:tblInd w:w="0" w:type="dxa"/>
        <w:tblLayout w:type="fixed"/>
        <w:tblCellMar>
          <w:top w:w="0" w:type="dxa"/>
          <w:left w:w="0" w:type="dxa"/>
          <w:bottom w:w="0" w:type="dxa"/>
          <w:right w:w="0" w:type="dxa"/>
        </w:tblCellMar>
      </w:tblPr>
      <w:tblGrid>
        <w:gridCol w:w="5525"/>
        <w:gridCol w:w="90"/>
        <w:gridCol w:w="226"/>
        <w:gridCol w:w="945"/>
        <w:gridCol w:w="166"/>
        <w:gridCol w:w="119"/>
        <w:gridCol w:w="226"/>
        <w:gridCol w:w="945"/>
        <w:gridCol w:w="170"/>
      </w:tblGrid>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7"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Revenue, net:</w:t>
            </w:r>
          </w:p>
        </w:tc>
        <w:tc>
          <w:tcPr>
            <w:tcW w:w="9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center"/>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License revenue</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3,022</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1,761</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General and administrative</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6,852</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6,096</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Write-off and impairment of patents</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176</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1,268</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Depreciation &amp; amortization</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384</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509</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7,412</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7,873</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(4,390</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(6,112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Interest income, net</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142</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135</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Sublease income</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1,847</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1,352</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Miscellaneous income</w:t>
            </w:r>
          </w:p>
        </w:tc>
        <w:tc>
          <w:tcPr>
            <w:tcW w:w="90"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1,748</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pPr>
            <w:r>
              <w:rPr/>
              <w:t>2,282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Total other income</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3,737</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3,769</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(653</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(2,343</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tax benefit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0"/>
              <w:jc w:val="right"/>
              <w:rPr/>
            </w:pPr>
            <w:r>
              <w:rPr/>
              <w:t>—</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(653</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(2,312</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Income from discontinued operations, net of income taxes</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84</w:t>
            </w:r>
          </w:p>
        </w:tc>
        <w:tc>
          <w:tcPr>
            <w:tcW w:w="1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(569</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(2,181</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(Loss) income per common share, basic:</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(0.06</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(0.20</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Discontinued operations, net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per common share, basic</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(0.19</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(Loss) income per common share, diluted:</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Continuing operations</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(0.06</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(0.20</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Discontinued operations, net</w:t>
            </w:r>
          </w:p>
        </w:tc>
        <w:tc>
          <w:tcPr>
            <w:tcW w:w="90"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6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pPr>
            <w:r>
              <w:rPr/>
              <w:t> </w:t>
            </w:r>
          </w:p>
        </w:tc>
        <w:tc>
          <w:tcPr>
            <w:tcW w:w="22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pPr>
            <w:r>
              <w:rPr/>
              <w:t>0.01</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per common share, diluted</w:t>
            </w:r>
          </w:p>
        </w:tc>
        <w:tc>
          <w:tcPr>
            <w:tcW w:w="90"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(0.05</w:t>
            </w:r>
          </w:p>
        </w:tc>
        <w:tc>
          <w:tcPr>
            <w:tcW w:w="166"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22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pPr>
            <w:r>
              <w:rPr/>
              <w:t>(0.19</w:t>
            </w:r>
          </w:p>
        </w:tc>
        <w:tc>
          <w:tcPr>
            <w:tcW w:w="170" w:type="dxa"/>
            <w:tcBorders/>
            <w:shd w:fill="CCEEFF" w:val="clear"/>
            <w:vAlign w:val="center"/>
          </w:tcPr>
          <w:p>
            <w:pPr>
              <w:pStyle w:val="TableContents"/>
              <w:bidi w:val="0"/>
              <w:spacing w:before="0" w:after="283"/>
              <w:jc w:val="left"/>
              <w:rPr/>
            </w:pPr>
            <w:r>
              <w:rPr/>
              <w:t>)</w:t>
            </w:r>
          </w:p>
        </w:tc>
      </w:tr>
      <w:tr>
        <w:trPr/>
        <w:tc>
          <w:tcPr>
            <w:tcW w:w="55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Weighted average common shares, basic</w:t>
            </w:r>
          </w:p>
        </w:tc>
        <w:tc>
          <w:tcPr>
            <w:tcW w:w="9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11,569</w:t>
            </w:r>
          </w:p>
        </w:tc>
        <w:tc>
          <w:tcPr>
            <w:tcW w:w="166"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11,532</w:t>
            </w:r>
          </w:p>
        </w:tc>
        <w:tc>
          <w:tcPr>
            <w:tcW w:w="170" w:type="dxa"/>
            <w:tcBorders/>
            <w:shd w:fill="CCEEFF" w:val="cle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Weighted average common shares, diluted</w:t>
            </w:r>
          </w:p>
        </w:tc>
        <w:tc>
          <w:tcPr>
            <w:tcW w:w="9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11,569</w:t>
            </w:r>
          </w:p>
        </w:tc>
        <w:tc>
          <w:tcPr>
            <w:tcW w:w="166"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11,532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4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30"/>
      <w:bookmarkEnd w:id="33"/>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(Deficit)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2390"/>
        <w:gridCol w:w="90"/>
        <w:gridCol w:w="90"/>
        <w:gridCol w:w="620"/>
        <w:gridCol w:w="90"/>
        <w:gridCol w:w="90"/>
        <w:gridCol w:w="247"/>
        <w:gridCol w:w="463"/>
        <w:gridCol w:w="90"/>
        <w:gridCol w:w="90"/>
        <w:gridCol w:w="164"/>
        <w:gridCol w:w="771"/>
        <w:gridCol w:w="90"/>
        <w:gridCol w:w="90"/>
        <w:gridCol w:w="186"/>
        <w:gridCol w:w="944"/>
        <w:gridCol w:w="110"/>
        <w:gridCol w:w="90"/>
        <w:gridCol w:w="155"/>
        <w:gridCol w:w="620"/>
        <w:gridCol w:w="155"/>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Additional</w:t>
              <w:br/>
              <w:t>Paid 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Total</w:t>
            </w:r>
          </w:p>
        </w:tc>
        <w:tc>
          <w:tcPr>
            <w:tcW w:w="15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978,917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(949,641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29,287</w:t>
            </w:r>
          </w:p>
        </w:tc>
        <w:tc>
          <w:tcPr>
            <w:tcW w:w="15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w:t>
            </w:r>
          </w:p>
        </w:tc>
        <w:tc>
          <w:tcPr>
            <w:tcW w:w="15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979,181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(951,822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27,370</w:t>
            </w:r>
          </w:p>
        </w:tc>
        <w:tc>
          <w:tcPr>
            <w:tcW w:w="15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15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 w:type="dxa"/>
            <w:tcBorders>
              <w:bottom w:val="single" w:sz="12" w:space="0" w:color="000000"/>
            </w:tcBorders>
            <w:tcMar>
              <w:bottom w:w="28" w:type="dxa"/>
            </w:tcMar>
            <w:vAlign w:val="center"/>
          </w:tcPr>
          <w:p>
            <w:pPr>
              <w:pStyle w:val="TableContents"/>
              <w:bidi w:val="0"/>
              <w:spacing w:before="0" w:after="283"/>
              <w:jc w:val="left"/>
              <w:rPr/>
            </w:pPr>
            <w:r>
              <w:rPr/>
              <w:t> </w:t>
            </w:r>
          </w:p>
        </w:tc>
        <w:tc>
          <w:tcPr>
            <w:tcW w:w="46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63"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979,256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(952,391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26,876</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1"/>
      <w:bookmarkEnd w:id="34"/>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9"/>
        <w:gridCol w:w="90"/>
        <w:gridCol w:w="214"/>
        <w:gridCol w:w="840"/>
        <w:gridCol w:w="157"/>
        <w:gridCol w:w="113"/>
        <w:gridCol w:w="214"/>
        <w:gridCol w:w="840"/>
        <w:gridCol w:w="218"/>
      </w:tblGrid>
      <w:tr>
        <w:trPr/>
        <w:tc>
          <w:tcPr>
            <w:tcW w:w="75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6" w:type="dxa"/>
            <w:gridSpan w:val="7"/>
            <w:tcBorders>
              <w:bottom w:val="single" w:sz="12" w:space="0" w:color="000000"/>
            </w:tcBorders>
            <w:tcMar>
              <w:bottom w:w="28" w:type="dxa"/>
            </w:tcMar>
            <w:vAlign w:val="center"/>
          </w:tcPr>
          <w:p>
            <w:pPr>
              <w:pStyle w:val="TableContents"/>
              <w:bidi w:val="0"/>
              <w:spacing w:before="0" w:after="283"/>
              <w:jc w:val="center"/>
              <w:rPr/>
            </w:pPr>
            <w:r>
              <w:rPr/>
              <w:t>Years ended December 31,</w:t>
            </w:r>
          </w:p>
        </w:tc>
      </w:tr>
      <w:tr>
        <w:trPr/>
        <w:tc>
          <w:tcPr>
            <w:tcW w:w="751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1" w:type="dxa"/>
            <w:gridSpan w:val="3"/>
            <w:tcBorders>
              <w:bottom w:val="single" w:sz="12" w:space="0" w:color="000000"/>
            </w:tcBorders>
            <w:tcMar>
              <w:bottom w:w="28" w:type="dxa"/>
            </w:tcMar>
            <w:vAlign w:val="center"/>
          </w:tcPr>
          <w:p>
            <w:pPr>
              <w:pStyle w:val="TableContents"/>
              <w:bidi w:val="0"/>
              <w:spacing w:before="0" w:after="283"/>
              <w:jc w:val="center"/>
              <w:rPr/>
            </w:pPr>
            <w:r>
              <w:rPr/>
              <w:t>2025</w:t>
            </w:r>
          </w:p>
        </w:tc>
        <w:tc>
          <w:tcPr>
            <w:tcW w:w="113" w:type="dxa"/>
            <w:tcBorders/>
            <w:vAlign w:val="center"/>
          </w:tcPr>
          <w:p>
            <w:pPr>
              <w:pStyle w:val="TableContents"/>
              <w:bidi w:val="0"/>
              <w:spacing w:before="0" w:after="283"/>
              <w:jc w:val="left"/>
              <w:rPr/>
            </w:pPr>
            <w:r>
              <w:rPr/>
              <w:t> </w:t>
            </w:r>
          </w:p>
        </w:tc>
        <w:tc>
          <w:tcPr>
            <w:tcW w:w="1272" w:type="dxa"/>
            <w:gridSpan w:val="3"/>
            <w:tcBorders>
              <w:bottom w:val="single" w:sz="12" w:space="0" w:color="000000"/>
            </w:tcBorders>
            <w:tcMar>
              <w:bottom w:w="28" w:type="dxa"/>
            </w:tcMar>
            <w:vAlign w:val="center"/>
          </w:tcPr>
          <w:p>
            <w:pPr>
              <w:pStyle w:val="TableContents"/>
              <w:bidi w:val="0"/>
              <w:spacing w:before="0" w:after="283"/>
              <w:jc w:val="center"/>
              <w:rPr/>
            </w:pPr>
            <w:r>
              <w:rPr/>
              <w:t>2024</w:t>
            </w:r>
          </w:p>
        </w:tc>
      </w:tr>
      <w:tr>
        <w:trPr/>
        <w:tc>
          <w:tcPr>
            <w:tcW w:w="7519" w:type="dxa"/>
            <w:tcBorders/>
            <w:shd w:fill="CCEEFF" w:val="clear"/>
            <w:vAlign w:val="center"/>
          </w:tcPr>
          <w:p>
            <w:pPr>
              <w:pStyle w:val="TableContents"/>
              <w:bidi w:val="0"/>
              <w:spacing w:before="0" w:after="283"/>
              <w:jc w:val="left"/>
              <w:rPr/>
            </w:pPr>
            <w:r>
              <w:rPr/>
              <w:t>Cash flows from operating activities: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(569</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840" w:type="dxa"/>
            <w:tcBorders/>
            <w:vAlign w:val="center"/>
          </w:tcPr>
          <w:p>
            <w:pPr>
              <w:pStyle w:val="TableContents"/>
              <w:bidi w:val="0"/>
              <w:spacing w:before="0" w:after="283"/>
              <w:jc w:val="right"/>
              <w:rPr/>
            </w:pPr>
            <w:r>
              <w:rPr/>
              <w:t>(2,181</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Less: Income from discontinued operations, net of tax</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84</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131</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loss from continuing operations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(653</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(2,312</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Adjustments to reconcile net loss to net cash provided by continuing operating activities: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384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509</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Write-off and impairment of patents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176</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1,268</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Share-based payment compensation costs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75</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264</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Amortization of right of use assets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809</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771</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 </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Prepaid and other current assets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201</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397</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2,020</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1,930</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119</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231</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Accrued expenses and other current liabilities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272</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(1,006</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(1,078</w:t>
            </w:r>
          </w:p>
        </w:tc>
        <w:tc>
          <w:tcPr>
            <w:tcW w:w="157"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(990</w:t>
            </w:r>
          </w:p>
        </w:tc>
        <w:tc>
          <w:tcPr>
            <w:tcW w:w="218" w:type="dxa"/>
            <w:tcBorders/>
            <w:shd w:fill="CCEEFF" w:val="clear"/>
            <w:vAlign w:val="center"/>
          </w:tcPr>
          <w:p>
            <w:pPr>
              <w:pStyle w:val="TableContents"/>
              <w:bidi w:val="0"/>
              <w:spacing w:before="0" w:after="283"/>
              <w:jc w:val="left"/>
              <w:rPr/>
            </w:pPr>
            <w:r>
              <w:rPr/>
              <w:t>)</w:t>
            </w:r>
          </w:p>
        </w:tc>
      </w:tr>
      <w:tr>
        <w:trPr/>
        <w:tc>
          <w:tcPr>
            <w:tcW w:w="7519" w:type="dxa"/>
            <w:tcBorders/>
            <w:vAlign w:val="center"/>
          </w:tcPr>
          <w:p>
            <w:pPr>
              <w:pStyle w:val="TableContents"/>
              <w:bidi w:val="0"/>
              <w:spacing w:before="0" w:after="283"/>
              <w:jc w:val="left"/>
              <w:rPr/>
            </w:pPr>
            <w:r>
              <w:rPr/>
              <w:t>Other non-current liabilities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129</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108</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Total adjustments</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3,107</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3,482</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cash provided by continuing operating activities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2,454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1,170</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Discontinued operations:</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Net cash used in operating activities</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57"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tcMar>
              <w:bottom w:w="28" w:type="dxa"/>
            </w:tcMar>
            <w:vAlign w:val="center"/>
          </w:tcPr>
          <w:p>
            <w:pPr>
              <w:pStyle w:val="TableContents"/>
              <w:bidi w:val="0"/>
              <w:spacing w:before="0" w:after="283"/>
              <w:jc w:val="right"/>
              <w:rPr/>
            </w:pPr>
            <w:r>
              <w:rPr/>
              <w:t>(438</w:t>
            </w:r>
          </w:p>
        </w:tc>
        <w:tc>
          <w:tcPr>
            <w:tcW w:w="218" w:type="dxa"/>
            <w:tcBorders/>
            <w:vAlign w:val="center"/>
          </w:tcPr>
          <w:p>
            <w:pPr>
              <w:pStyle w:val="TableContents"/>
              <w:bidi w:val="0"/>
              <w:spacing w:before="0" w:after="283"/>
              <w:jc w:val="left"/>
              <w:rPr/>
            </w:pPr>
            <w:r>
              <w:rPr/>
              <w:t>)</w:t>
            </w:r>
          </w:p>
        </w:tc>
      </w:tr>
      <w:tr>
        <w:trPr/>
        <w:tc>
          <w:tcPr>
            <w:tcW w:w="7519" w:type="dxa"/>
            <w:tcBorders/>
            <w:shd w:fill="CCEEFF" w:val="clear"/>
            <w:vAlign w:val="center"/>
          </w:tcPr>
          <w:p>
            <w:pPr>
              <w:pStyle w:val="TableContents"/>
              <w:bidi w:val="0"/>
              <w:spacing w:before="0" w:after="283"/>
              <w:jc w:val="left"/>
              <w:rPr/>
            </w:pPr>
            <w:r>
              <w:rPr/>
              <w:t>Net cash used in discontinued operations</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57"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(438</w:t>
            </w:r>
          </w:p>
        </w:tc>
        <w:tc>
          <w:tcPr>
            <w:tcW w:w="218" w:type="dxa"/>
            <w:tcBorders/>
            <w:shd w:fill="CCEEFF" w:val="clear"/>
            <w:vAlign w:val="center"/>
          </w:tcPr>
          <w:p>
            <w:pPr>
              <w:pStyle w:val="TableContents"/>
              <w:bidi w:val="0"/>
              <w:spacing w:before="0" w:after="283"/>
              <w:jc w:val="left"/>
              <w:rPr/>
            </w:pPr>
            <w:r>
              <w:rPr/>
              <w:t>)</w:t>
            </w:r>
          </w:p>
        </w:tc>
      </w:tr>
      <w:tr>
        <w:trPr/>
        <w:tc>
          <w:tcPr>
            <w:tcW w:w="7519" w:type="dxa"/>
            <w:tcBorders/>
            <w:vAlign w:val="center"/>
          </w:tcPr>
          <w:p>
            <w:pPr>
              <w:pStyle w:val="TableContents"/>
              <w:bidi w:val="0"/>
              <w:spacing w:before="0" w:after="283"/>
              <w:jc w:val="left"/>
              <w:rPr/>
            </w:pPr>
            <w:r>
              <w:rPr/>
              <w:t>Net increase in cash</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2,424</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40" w:type="dxa"/>
            <w:tcBorders/>
            <w:vAlign w:val="center"/>
          </w:tcPr>
          <w:p>
            <w:pPr>
              <w:pStyle w:val="TableContents"/>
              <w:bidi w:val="0"/>
              <w:spacing w:before="0" w:after="283"/>
              <w:jc w:val="right"/>
              <w:rPr/>
            </w:pPr>
            <w:r>
              <w:rPr/>
              <w:t>732</w:t>
            </w:r>
          </w:p>
        </w:tc>
        <w:tc>
          <w:tcPr>
            <w:tcW w:w="218" w:type="dxa"/>
            <w:tcBorders/>
            <w:vAlign w:val="center"/>
          </w:tcPr>
          <w:p>
            <w:pPr>
              <w:pStyle w:val="TableContents"/>
              <w:bidi w:val="0"/>
              <w:spacing w:before="0" w:after="283"/>
              <w:jc w:val="left"/>
              <w:rPr/>
            </w:pPr>
            <w:r>
              <w:rPr/>
              <w:t> </w:t>
            </w:r>
          </w:p>
        </w:tc>
      </w:tr>
      <w:tr>
        <w:trPr/>
        <w:tc>
          <w:tcPr>
            <w:tcW w:w="7519" w:type="dxa"/>
            <w:tcBorders/>
            <w:shd w:fill="CCEEFF" w:val="clear"/>
            <w:vAlign w:val="center"/>
          </w:tcPr>
          <w:p>
            <w:pPr>
              <w:pStyle w:val="TableContents"/>
              <w:bidi w:val="0"/>
              <w:spacing w:before="0" w:after="283"/>
              <w:jc w:val="left"/>
              <w:rPr/>
            </w:pPr>
            <w:r>
              <w:rPr/>
              <w:t>Cash and cash equivalents - continuing operations, beginning of period</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5,059</w:t>
            </w:r>
          </w:p>
        </w:tc>
        <w:tc>
          <w:tcPr>
            <w:tcW w:w="15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center"/>
          </w:tcPr>
          <w:p>
            <w:pPr>
              <w:pStyle w:val="TableContents"/>
              <w:bidi w:val="0"/>
              <w:spacing w:before="0" w:after="283"/>
              <w:jc w:val="right"/>
              <w:rPr/>
            </w:pPr>
            <w:r>
              <w:rPr/>
              <w:t>4,327</w:t>
            </w:r>
          </w:p>
        </w:tc>
        <w:tc>
          <w:tcPr>
            <w:tcW w:w="218" w:type="dxa"/>
            <w:tcBorders/>
            <w:shd w:fill="CCEEFF" w:val="clear"/>
            <w:vAlign w:val="center"/>
          </w:tcPr>
          <w:p>
            <w:pPr>
              <w:pStyle w:val="TableContents"/>
              <w:bidi w:val="0"/>
              <w:spacing w:before="0" w:after="283"/>
              <w:jc w:val="left"/>
              <w:rPr/>
            </w:pPr>
            <w:r>
              <w:rPr/>
              <w:t> </w:t>
            </w:r>
          </w:p>
        </w:tc>
      </w:tr>
      <w:tr>
        <w:trPr/>
        <w:tc>
          <w:tcPr>
            <w:tcW w:w="7519" w:type="dxa"/>
            <w:tcBorders/>
            <w:vAlign w:val="center"/>
          </w:tcPr>
          <w:p>
            <w:pPr>
              <w:pStyle w:val="TableContents"/>
              <w:bidi w:val="0"/>
              <w:spacing w:before="0" w:after="283"/>
              <w:jc w:val="left"/>
              <w:rPr/>
            </w:pPr>
            <w:r>
              <w:rPr/>
              <w:t>Total cash and cash equivalents, end of period</w:t>
            </w:r>
          </w:p>
        </w:tc>
        <w:tc>
          <w:tcPr>
            <w:tcW w:w="90"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w:t>
            </w:r>
          </w:p>
        </w:tc>
        <w:tc>
          <w:tcPr>
            <w:tcW w:w="840" w:type="dxa"/>
            <w:tcBorders>
              <w:bottom w:val="double" w:sz="10" w:space="0" w:color="000000"/>
            </w:tcBorders>
            <w:tcMar>
              <w:bottom w:w="28" w:type="dxa"/>
            </w:tcMar>
            <w:vAlign w:val="center"/>
          </w:tcPr>
          <w:p>
            <w:pPr>
              <w:pStyle w:val="TableContents"/>
              <w:bidi w:val="0"/>
              <w:spacing w:before="0" w:after="283"/>
              <w:jc w:val="right"/>
              <w:rPr/>
            </w:pPr>
            <w:r>
              <w:rPr/>
              <w:t>7,483</w:t>
            </w:r>
          </w:p>
        </w:tc>
        <w:tc>
          <w:tcPr>
            <w:tcW w:w="157"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w:t>
            </w:r>
          </w:p>
        </w:tc>
        <w:tc>
          <w:tcPr>
            <w:tcW w:w="840" w:type="dxa"/>
            <w:tcBorders>
              <w:bottom w:val="double" w:sz="10" w:space="0" w:color="000000"/>
            </w:tcBorders>
            <w:tcMar>
              <w:bottom w:w="28" w:type="dxa"/>
            </w:tcMar>
            <w:vAlign w:val="center"/>
          </w:tcPr>
          <w:p>
            <w:pPr>
              <w:pStyle w:val="TableContents"/>
              <w:bidi w:val="0"/>
              <w:spacing w:before="0" w:after="283"/>
              <w:jc w:val="right"/>
              <w:rPr/>
            </w:pPr>
            <w:r>
              <w:rPr/>
              <w:t>5,059</w:t>
            </w:r>
          </w:p>
        </w:tc>
        <w:tc>
          <w:tcPr>
            <w:tcW w:w="21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a_032"/>
      <w:bookmarkEnd w:id="35"/>
      <w:r>
        <w:rPr>
          <w:rFonts w:ascii="Times New Roman;Times;Serif" w:hAnsi="Times New Roman;Times;Serif"/>
          <w:b/>
          <w:i w:val="false"/>
          <w:caps w:val="false"/>
          <w:smallCaps w:val="false"/>
          <w:sz w:val="20"/>
        </w:rPr>
        <w:t>TherapeuticsMD,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Business, basis of presentation, new accounting standards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Inc. (the “Company”), a Nevada corporation, and its consolidated subsidiaries are referred to collectively in this Annual Report on Form 10-K (“10-K Report”) as “TherapeuticsMD,” “we,” “our” and “us.” This 10-K Report includes trademarks, trade names and service marks, such as TherapeuticsMD®, vitaMedMD®, BocaGreenMD® , IMVEXXY®, and BIJUVA®, which are protected under applicable intellectual property laws and are the property of, or licensed by or to, us. Solely for convenience, trademarks, trade names and service marks referred to in this 10-K Report may appear without the ®, TM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On December 30, 2022 (the “Closing Date”), we completed a transaction (the “Mayne Transaction”) with Mayne Pharma LLC, a Delaware limited liability company (“Mayne Pharma”) and subsidiary of Mayne Pharma Group Limited, an Australian public company, in which we and our subsidiaries (i) granted Mayne Pharma an exclusive license to commercialize our IMVEXXY, BIJUVA and prescription prenatal vitamin products sold under the BocaGreenMD and vitaMedMD brands (collectively, the “Licensed Products”) in the United States and its possessions and territories, (ii) assigned to Mayne Pharma our exclusive license to commercialize ANNOVERA® (together with the Licensed Products, collectively, the “Products”) in the United States and its possessions and territories, and (iii) sold certain other assets to Mayne Pharma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License Agreement, dated December 4, 2022, between TherapeuticsMD and Mayne Pharma (the “Mayne License Agreement”), we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Mayne License Agreement, Mayne Pharma agreed to pay us milestone payments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us royalties on net sales of all Products in the United States at a royalty rate of 8.0% on the first $80.0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us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Transaction Agreement, dated December 4, 2022, between TherapeuticsMD and Mayne Pharma (the “Transaction Agreement”), we sold to Mayne Pharma, at closing, certain assets for Mayne Pharma to commercialize the Products in the United States, including, with the Population Council’s consent, our exclusive license from the Population Council to commercialize ANNOVERA (the “Transferred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from Mayne Pharma to TherapeuticsMD for the purchase of the Transferred Assets under the Transaction Agreement and the grant of the licenses under the Mayne License Agreement was (i) a cash payment of $140.0 million at closing, (ii) a cash payment of approximately $12.1 million at closing for the acquisition of net working capital as determined in accordance with the Transaction Agreement and subject to certain adjustments, (iii) a cash payment of approximately $1.0 million at closing for prepaid royalties in connection with the Mayne License Agreement Amendment (as defined below) and (iv) the right to receive the contingent consideration set forth in the Mayne License Agreement, as amended. The acquisition of net working capital was determined in accordance with the Transaction Agreement and included significant estimates which could change materially for a period of up to two years following the Closing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TherapeuticsMD and Mayne Pharma entered into Amendment No. 1 to the Mayne License Agreement (the “Mayne License Agreement Amendment”). Pursuant to the Mayne License Agreement Amendment, Mayne Pharma agreed to pay us approximately $1.0 million in prepaid royalties on the Closing Date. The prepaid royalties reduced the first four quarterly payments that would have otherwise been payable pursuant to the Mayne License Agreement by an amount equal to $257 thousand per quarterly royalty payment plus interest calculated at 19% per annum accruing from the Closing Date until the date such quarterly royalty payment was paid to us. We and Mayne Pharma settled the $1.5 million of consideration due to Mayne Pharma for the assumed obligations under a long-term services agreement, including our minimum payment obligations thereunder. As the parties agreed, during the second quarter of 2023 Mayne Pharma held back our royalty payment of $0.6 million and we funded an additional $0.9 million in August 2023 to settle the original $1.5 million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 Additional disclosures regarding discontinued operations are provided in Note 2 of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license agreements with strategic partners to commercialize IMVEXXY and BIJUVA outside of the U.S.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July 2018, we entered into a license and supply agreement (the “Knight License Agreement”) with Knight Therapeutics Inc. (“Knight”) pursuant to which we granted Knight an exclusive license to commercialize IMVEXXY and BIJUVA in Canada and Israel. Knight obtained regulatory approval for IMVEXXY and BIJUVA and began commercialization efforts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September 2019, we entered into an exclusive license and supply agreement (the “Theramex License Agreement”) with Theramex HQ UK Limited (“Theramex”) to commercialize IMVEXXY and BIJUVA outside of the U.S., excluding Canada and Israel. In 2021, Theramex secured regulatory approval for BIJUVA in certain European countries and began commercialization efforts in those countries.</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05"/>
        <w:gridCol w:w="200"/>
        <w:gridCol w:w="9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December 2024, we transferred the right to commercialize IMVEXXY and BIJUVA in Israel from Knight to Theramex.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31, 2022. Severance obligations for all employees other than executive officers were paid in full in January 2023 and severance obligations for terminated executive officers have been paid in accordance with their employment agreements and separation agreements as previously disclosed. As of December 31, 2025 and 2024, we employed one full-time employee primarily engaged in an executive position.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external consultants who support our relationship with current partners and assist with certain financial, IT, legal, and regulatory matters and the continued wind-down of our historical business operations. On August 15, 2023, we entered into a master services agreement with JZ Advisory Group, pursuant to which Joseph Ziegler serves as our Principal Financial and Accounting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transaction with Mayne Pharma, our primary source of revenue is from royalties on products licensed to pharmaceutical organizations that possess commercial capabilities in the relevant territories. We may need to raise capital to provide additional liquidity to fund our operations. To address our capital needs, we may pursue various equity and debt financing and other alternatives. The equity financing alternatives may include the private placement of equity, equity-linked, or other similar instruments or obligations with one or more investors, lenders, or other institutional counterparties or an underwritten public equity or equity-linked securities offering. Our ability to sell equity securities may be limited by market conditions, including the market price of our common stock, and our available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such securities, the ownership interests of our existing stockholders will be diluted, and the terms of these new securities may include liquidation or other preferences that adversely affect the rights of our existing stockholders. If we are not successful in obtaining additional financing, we could be forced to discontinue or curtail our business operations, sell assets at unfavorable prices, or merge, consolidate, or combine with a company with greater financial resources in a transaction that might be unfavorable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2023, we entered into a Subscription Agreement (the “Subscription Agreement”) with Rubric Capital Management LP (“Rubric”), pursuant to which we agreed to sell to Rubric, or one or more of its affiliates, up to an aggregate of 5,000,000 shares of our common stock, par value $0.001 per share (our “Common Stock”), from time to time during the term of the Subscription Agreement in separate draw-downs at our election. On June 29, 2023, we issued and sold 312,525 shares of Common Stock at a price per share equal to $3.6797 pursuant to the Subscription Agreement. We received gross proceeds of $1.15 million from the draw-down, before expenses. On November 15, 2023, Rubric drew an additional 877,192 shares of Common Stock at a price per share equal to $2.2761. We received gross proceeds of $2.0 million from the draw-down, before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the Company received Mayne Pharma’s calculation of the net working capital allowances for payer rebates and wholesale distributor fees pursuant to the Transaction Agreement, which differed significantly from the Company’s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Mayne Pharma’s sales of Licensed Products grow more slowly than expected or decline, if the net working capital settlement with Mayne Pharma under the Transaction Agreement is greater than our current estimates, if we are unsuccessful with future financings or the supply chains related to the third-party contract manufacturers are worse than we anticipate, our existing cash reserves may be insufficient to satisfy our liquidity requirements. The potential impact of these factors in conjunction with the uncertainty of the capital markets raises substantial doubt about our ability to continue as a going concern for the next twelve months from the issuance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do not include any adjustments that might be necessary if we are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related notes include our parent company and all wholly owned subsidiaries. The consolidated financial statements are prepared in accordance with accounting principles generally accepted in the United States of America (“U.S. GAAP”). Our fiscal year-end is as of and for the year ended December 31st for each year presented. All intercompany transactions among our businesses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transformation and as a result of the Mayne Transaction, all results associated with former commercial operations have been reflected as discontinued operations in the consolidated financial statements. Assets and liabilities associated with the commercial business are classified as assets and liabilities of discontinued operations in the consolidated balance sheets. Additional disclosures regarding discontinued operations are provided in Note 2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the notes to the consolidated financial statements may not add due to rounding. Certain prior period amounts have been reclassified to conform to current-period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New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 – Adopted During the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2025, we have adopted the FASB issued ASU No. 2023-09, “Income Taxes (Topic 740) - Improvements to Income Tax Disclosures.” ASU No. 2023-09 enhances the transparency and decision usefulness of income tax disclosures by requiring consistent categories and greater disaggregation of information in the rate reconciliation and income taxes paid disaggregated by jurisdiction. The Company adopted this accounting standard update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Standards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(“ASU”) No. 2025-05, “Financial Instruments-Credit Losses (Topic 326): Measurement of Credit Losses for Accounts Receivable and Contract Assets,” which provides a practical expedient related to the estimation of expected credit losses for accounts receivable and current contract assets that arise from transactions accounted for under Accounting Standards Codification (“ASC”) 606, “Revenue Recognition.” ASU No. 2025-05 requires an entity to disclose whether it has elected to use the practical expedient. An entity that makes the accounting policy election is required to disclose the date through which subsequent cash collections are evaluated. The requirements of ASU No. 2025-05 are effective for annual periods beginning after December 15, 2025, and interim periods beginning in the first quarter of 2026. Early adoption is permitted in both interim and annual reporting periods in which financial statements have not yet been issued or made available for issuance. The Company does not expect a material change as a result of ASU No. 2025-05.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2024-03, “Income Statement - Reporting Comprehensive Income - Expense Disaggregation Disclosures (Subtopic 220-40),” and in January 2025, the FASB issued ASU No. 2025-01, “Income Statement - Reporting Comprehensive Income - Expense Disaggregation Disclosures (Subtopic 220-40): Clarifying the Effective Date.” ASU No. 2024-03 requires additional income statement disclosures, including the disaggregation of specific categories of expenses underlying the line items presented on the income statement. Additionally, ASU No. 2024-03 requires enhanced disclosure of selling expenses. As clarified by ASU No. 2025-01, the requirements of the guidance are effective for annual periods beginning after December 15, 2026, and interim periods within fiscal years beginning after December 15, 2027. For the Company, annual reporting requirements under ASU No. 2024-03 will be effective for its Annual Report on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evaluating the impact of this pronouncement on its consolidated financial statements and notes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Narrow-Scope Improvements.” ASU No. 2025-11 has three primary objectives: to specify the form and content choices for interim financial statements and accompanying notes; to incorporate a comprehensive list of required interim disclosures; and to introduce a disclosure principle requiring entities to disclose events since the end of the previous annual reporting period that have a material impact on the entity. The amendments are not intended to change the fundamental nature of interim reporting or expand or reduce current interim disclosure requirements. The requirements of ASU No. 2025-11 are effective for public business entities for interim reporting periods within annual reporting periods beginning after December 15, 2027. Early adoption is permitted. The amendments may be applied either prospectively or retrospectively. For the Company, the requirements of ASU No. 2025-11 will be effective beginning in the first quarter of 2028. The Company does not expect a material change as a result of ASU No. 2025-11.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Discontinued operations comprise activities that were disposed of at the end of the period, represent a separate major line of business that can be clearly distinguished for operational and financial reporting purposes and represent a business shift having a major effect on the Company’s operations and financial results according to Accounting Standards Codification (“ASC”) Topic 205, Presentation of Financial Statements. In 2022, we started classifying commercial activities as discontinued operations due to the cessation of these operations. No amounts for shared general and administrative operating support expense were allocated to discontinued operations. As required by the terms of the Financing Agreement, dated as of April 24, 2019, as amended, with Sixth Street Specialty Lending, Inc., as administrative agent, the various lenders from time-to-time party thereto, and certain of our subsidiaries party thereto from time to time as guarantors, the proceeds from both transactions were used to fully repay our outstanding debt borrowings. As a result, interest expense and amortization of deferred financing costs as well as expense for accretion of Series A Preferred Stock and loss on extinguishment of debt are included within income (loss) from discontinued operations, net of tax. Additionally, the related assets and liabilities have been reported as assets and liabilities of discontinued operations in the Company’s consolidated balance sheets as of December 31, 2025 and 2024. For additional information, see Note 2. Discontinued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us to make certain estimates and assumptions that affect the reported amounts of assets and liabilities, disclosure of contingent assets and liabilities at the date of the financial statements and the reported amounts of revenue and expenses during the reporting period. We evaluate our estimated assumptions based on historical experience and on various other assumptions that are believed to be reasonable, the results of which form the basis for making judgments about the carrying values of assets and liabilities that are not readily apparent from other sources. Actual results may differ, at times in material amounts,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consolidated statements of cash flows, short-term, highly liquid investments that are readily convertible to known amounts of cash and so near their maturity that they present insignificant risk of changes in value because of changes in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cash at financial institutions that at times may exceed the Federal Deposit Insurance Corporation (“FDIC”) insured limits of $250 thousand per bank. We have never experienced any losses related to these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to sell an asset or transfer a liability and therefore represents an exit price in the principal market (or in the absence of a principal market, the most advantageous market). It represents a market-based measurement that contemplates a hypothetical transaction between market participants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an asset or liability and the availability of observable prices affect the number of valuation approaches and/or techniques used in a fair value analysis. We measure fair value using observable and unobservable inputs. We give the highest priority to quoted prices (unadjusted) in active markets for identical assets or liabilities (Level 1 inputs) and the lowest priority to unobservable inputs (Level 3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the following fair value hierarchy:</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05"/>
        <w:gridCol w:w="200"/>
        <w:gridCol w:w="72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1 - Quoted prices (unadjusted) in active markets for identical assets and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2 - Quoted prices in non-active markets or in active markets for similar assets or liabilities, observable inputs other than quoted prices; and inputs that are not directly observable but are corroborated by observable market data.</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3 - Inputs that are unobservable.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our cash, cash equivalents, accounts receivable, accounts payable and accrued expenses approximate their fair value because of the short-term maturity of such instruments, which are considered Level 1 under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License rights and other intangibles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license rights and other intangible assets at cost, which includes external costs, consisting primary of legal costs, incurred in securing our patents and 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subject to amortization, such as patents, are amortized over the useful life of the patent using the straight-line method. If the patent is not successfully granted, we write off any capitalized patent costs at that time. Intangible assets not subject to amortization, such as trademarks, are perpetual and have indefinite lives.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license rights and other intangible assets subject to amortization on a periodic basis to determine whether events and circumstances would indicate impairment or warrant a revision to their remaining useful lives. We assess other intangible assets not subject to amortization for potential impairment semi-annually during the second and fourth quarter of each year, or more frequently if events occur or circumstances change that would more likely than not reduce the fair value of the intangible assets below their carrying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and operate as one business, which prior to December 2022 was focused on creating and commercializing products targeted exclusively for women and after we signed Mayne License Agreement, is focused on collecting royalties from licensing our products. Our business is led by our chief executive officer, who is our Chief Operating Decision Maker (“CODM”). We do not operate separate lines of business with respect to any of our products, and we do not prepare discrete financial information with respect to separate products. Accordingly, we view our business as one reportable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the amount of revenue to be recognized through application of the following steps:</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5"/>
        <w:gridCol w:w="200"/>
        <w:gridCol w:w="3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of the contract with a customer;</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of the performance obligations in the contract;</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05"/>
        <w:gridCol w:w="200"/>
        <w:gridCol w:w="3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of the transaction price;</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105"/>
        <w:gridCol w:w="200"/>
        <w:gridCol w:w="70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of the transaction price to the performance obligations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105"/>
        <w:gridCol w:w="200"/>
        <w:gridCol w:w="61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revenue when or as we satisfy the performance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is a promise in a contract to transfer a product or service to a customer. A good or service is considered to be transferred when the customer receives the goods or service or obtains control, and we treat shipping as a fulfillment activity rather than as a separate obligation. We generally recognize revenue at a point in time when all of our performance obligations under the terms of a contract are satisfied. Revenue is recognized upon transfer of control of promised products or services in an amount that reflects the consideration we expect to receive in exchange for those products or services. The collectability of consideration on the contract is reasonably assured before revenue is recognized. To the extent that customer payment has been received before all recognition criteria are met, these revenues are initially deferred in other accruals on the balance sheet and the revenue is recognized in the period that all recognition criteria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from Contracts with Customers, a royalty receivable is recorded when the underlying sales or usage has occurred and the company has an unconditional right to payment (i.e., only the passage of time is required). It is measured at the amount expected to be collected, subject to an allowance for expected credit losses under ASC 326 Current Expected Credit Losses, and is included in Royalty receivable, current portion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arrangements may consist of non-refundable upfront license fees, exclusive licensed rights to patented or patent pending technology, and various performance or sales milestones and future product royalty payments. Some of these arrangements may include multiple performance obligations. Non-refundable up-front fees that are not contingent on any future performance by us, and do not require continuing involvement on our part, are recognized as revenue when the right to use functional intellectual property is transferred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2022, we granted an exclusive license to commercialize our prescription products and assigning the Company’s exclusive license to commercialize ANNOVERA to Mayne Pharma, which resulted in a business shift that had a major effect on our operations and financial results. As part of the transformation that included the Mayne License Agreement, all results associated with former commercial operations have been reflected as discontinued operations in the Company’s consolidated financial statements for all periods prior to the Closing Date. Since December 31, 2022, we are no longer directly engaged in the sale of prescription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Mayne License Agreement, we received $140 million at closing and we are eligible to receive additional payments in the aggregate of up to an additional $30 million, based on the achievement of sales milestones (collectively, the “Milestone Amounts”). The proceeds at closing were allocated between consideration for the sale of ANNOVERA and the initial license fee for the Licensed Products, as the sale of ANNOVERA was accounted for under ASC 610-20, Gains and Losses from Derecognition of Nonfinancial Assets in arriving at the gain on disposal (see Note 2), while the license grant of the other products were recognized under the provisions of ASC 606, Revenue from Contracts with Customers, as a license of functional intellectual property. The proceeds were allocated among the Licensed Products on the relative net present value of forecasted future product sales from those products. The Milestone Amounts will be recognized, as applicable, in subsequent periods based on actual product sales that exceed the respective net sales milestones as such variable consideration is constrained by the occurrence of the subsequent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royalty revenue in 2025 and 2024 primarily related to royalties provided for under the Mayne License Agreement based on Mayne Pharma’s sales of the licensed products subject to that agreement. Under the Mayne License Agreement, the Company is entitled to earn royalties on net sales of all of the Licensed Products at a royalty rate of (i) 8% on the first $80 million of net sales of the Licensed Products and (ii) 7.5% on net sales of all of the Licensed Products after the first $80 million of net sales. The royalty rate is subject to a 2% reduction upon the earlier to occur of (i) the expiration or revocation of the last valid claim covering a Licensed Product, and (ii) a generic product launch (a “LOE”). We are entitled to minimum annual royalties beginning with the year ending December 31, 2023 ($3 million annual minimum) and continuing with 3% annual increases through the year ending December 31, 2034 (the “Minimum Annual Royalty”). The total Minimum Annual Royalty we are entitled to is $42.6 million, and this total amount was allocated among the Licensed Products on the relative net present value of forecasted future product sales from those products. The portion allocated to consideration for the sale of ANNOVERA was attributed towards the gain on disposal of that asset. For the remaining portion allocated to the license grants for the other products, we determined that the minimum guarantee underlying the Minimum Annual Royalty should be treated as fixed consideration and recognized under ASC 606 at the point in time when the license was transferred. Since the Minimum Annual Royalty will be received in annual installments through 2034, we determined the transaction price allocated under ASC 606 contained a significant financing component, and we therefore determined the initial royalty revenue and corresponding receivable based on the present value of the allocated Minimum Annual Royalty. The present value was calculated using a discount rate of 10.45%, based on the credit characteristics of Mayne Pharma and the timing of future payments, and the value will be accreted to full value through the earlier of January 1, 2034, or a LOE. This royalty receivable is a contract asset as of December 31, 2025 and 2024, and is further subject to offset by Mayne Pharma (see J. Contract Assets and Liabilities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revenue earned in excess of the Minimum Annual Royalty will be recognized under ASC 606, which provides revenue recognition constraints by requiring the recognition of revenue at the later of the following: 1) when the subsequent sale occurs or 2) when the performance obligation to which some or all of the sales-based royalty has been allocated has been satisfied (or partially satisfied). We applied the royalty recognition constraint required under the guidance for sales-based royalties, which requires a sales-based royalty to be recorded no sooner than the underlying sale. Therefore, royalties on sales of products commercialized by Mayne Pharma will be recognized in the subsequent periods that the Licensed Products are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recorded BIJUVA license sales of $632 thousand made through the Theramex License Agreement, BIJUVA and IMVEXXY license sales of $598 thousand through the Knight License Agreement and $1,791 thousand pertaining to our licensed products with Mayne Pharma, which was recognized as license revenue. Additionally, we recognized $1,291 thousand in other income pertaining to royalty sales of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recorded BIJUVA license sales of $443 thousand made through the Theramex License Agreement, BIJUVA and IMVEXXY license sales of $195 thousand through the Knight License Agreement and $1,123 thousand pertaining to our licensed products with Mayne Pharma, which was recognized as license revenue. Additionally, we recognized $1,083 thousand in other income pertaining to royalty sales of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Contract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totaling $17,238 thousand and $19,572 thousand as of December 31, 2025 and 2024, respectively, include royalties recognized from the Minimum Annual Royalty (see I. Revenue Recognition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Share-based payment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share-based payment awards on a fair value basis of the equity instrument issued. Under fair value accounting, the grant-date fair value of the share-based payment award is amortized as compensation expense, on a straight-line basis, over the service period (generally, the vesting period) for both graded and cliff vesting awards. We have elected to account for forfeitures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share-based compensation in accordance with ASC 718 Stock Compensation US GAAP. Compensation expense is recognized over the requisite service period based on the grant-date fair value of the awards. The fair value of stock options and warrants is estimated on the grant date using the Black-Scholes option pricing model, which requires the use of certain assumptions, including expected volatility, expected term, risk-free interest rate, and expected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of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at our combined 2022 and 2023 Annual Meeting, our stockholders approved an amendment to our Amended and Restated Articles of Incorporation to increase the number of authorized shares of Common Stock from 12 million shares to 32 million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Company’s stockholders approved an amendment to the Company’s Amended and Restated Articles of Incorporation to increase the number of authorized shares of Common Stock from 32 million shares to 640 million shares. The Certificate of Amendment was filed with the Secretary of State of Nevada on January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early future years, any history of operating losses or tax credit carryforwards expiring unused, and unsettled circumstances that, if unfavorably resolved, would adversely affect future profit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carrying value of our deferred tax assets, after recording the valuation allowance on our deferred tax assets, is based on our present belief that it is more likely than not that we will be able to generate sufficient future taxable income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the remaining deferred tax assets will not be realized, we must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recognize both interest and penalties related to uncertain tax positions as part of the income tax provision. 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Earnings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or loss per common share is computed by dividing net income or loss available to common stockholders by the sum of the weighted average number of shares of common stock. Diluted earnings per common share is computed by dividing net income available to common stockholders by the sum of the weighted average number of shares of common stock and the number of additional shares of common stock that would have been outstanding if our outstanding potentially dilutive securities had been issued. Potentially dilutive securities include awards of non-vested or vested and not settled restricted stock units, performance stock units where the performance requirements have been met and not settled, warrants and options. The dilutive effect of potentially dilutive securities is reflected in diluted earnings per common share by application of the treasury stock method, except if its impact is anti-dilutive. Under the treasury stock method, an increase in the fair market value of our common stock can result in a greater dilutive effect from potentially dilutive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if an arrangement is a lease at inception. Determining whether a contract contains a lease includes judgment regarding whether the contract conveys the right to control the use of identified property or equipment for a period of time in exchange for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our lease-related assets and liabilities based on their classification as operating leases or finance leases, following the relevant accounting guidance. For all the lessee arrangements, we have elected an accounting policy to combine non-lease components with the related-lease components and treat the combined items as a lease for accounting purposes.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short-term leases (leases with an original lease term less than one year) from the measurement of lease-related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 right-of-use assets in an operating or finance lease at the asset group level (because these assets are long-lived nonfinancial assets and should be accounted for the same way as other long-lived nonfinancial assets) whenever events or changes in circumstances indicate that the carrying amount of an asset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sublease our unoccupied facilities to third parties. Any impairment to the associated right-of-use asset, leasehold improvements, or other assets as a result of the sublease is recognized in the period when a decision to sublease is made and recorded in our consolidated statements of operations. We recognize sublease income on a straight-line basis over the sublease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continuing operation amounts have been revised due to an immaterial error in prior year presentation. Prior to 2025, sublease income of $1,352 thousand was presented with general administrative expenses on the consolidated statements of operations. Beginning in 2025, the Company presented sublease income as a component of Other Income (expense) on the Consolidated Statements of Operations to better reflect the nature of the income. Accordingly, prior period amounts for the year ended December 31, 2024, have been reclassified to conform with current year presentation. This revision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Loss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 When a loss is reasonably possible (the chance of the future event or events occurring is more than remote but less than likely), no accrual is recognized. See Note 7 for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Revisions and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continuing operation amounts have been revised due to an immaterial error in prior year presentation. Prior to 2025, sublease income of $1,352 thousand was presented with general administrative expenses on the consolidated statements of operations. Beginning in 2025, the Company presented sublease income as a component of Other Income (expense) on the Consolidated Statements of Operations to better reflect the nature of the income. Accordingly, prior period amounts for the year ended December 31, 2024, have been reclassified to conform with current year presentation. This revision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continuing operation amounts have been reclassified to conform with current period presentation. Interest Income and Interest Expense were historically presented within Miscellaneous Income and beginning this year, are separately presented as a component of Other Income (expense). Accordingly, prior period amounts for the year ended December 31, 2024, have been reclassified to conform with current year presentation. These reclassifications had no effect on previously reported net loss or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the Consolidated Statement of Cash Flows, we have separately presented changes in operating lease liabilities beginning in 2025 and have reclassified amounts pertaining to amortization of right-of-use assets within net cash provided by continuing operating activities. Accordingly, prior period amounts for the year ended December 31, 2024, have been reclassified to conform with current year presentation and had no effect on previously reported net cash provided by continuing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within the footnotes to the Consolidated Financial Statements, Note 3. Prepaid and other current assets and Note 5. Accrued expenses and other current liabilities, have been reclassified for presentation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we changed our business in 2022 by licensing our products to receive royalties and future sales related milestone payments, after granting an exclusive license to commercialize our IMVEXXY, BIJUVA, and prescription prenatal vitamin products sold under the BocaGreenMD and vitaMedMD brands in the United States and assigning our exclusive license to commercialize ANNOVERA to Mayne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represented a strategic shift having a major effect on our operations and financial results. Upon our conversion from a commercial pharmaceutical company to a licensing only company with the consummation of the Mayne Transaction, we classified all direct revenues, costs and expenses related to commercial operations, within income (loss) from discontinued operations, net of tax, in the consolidated statements of operations for all periods presented. We have not allocated any amounts for shared general and administrative operating support expense to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related assets and liabilities have been reported as assets and liabilities of discontinued operations in our consolidated balance sheets as of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1, the acquisition of net working capital by Mayne Pharma was determined in accordance with the Transaction Agreement and included significant estimates which could change materially for a period of up to two years following the Closing Date. Our estimate of net working capital at closing was determined in accordance with the Transaction Agreement which establishes the process for the determination of final net working capital. Refer to Note 7 for a further discussion of net working capital contingencies.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results of discontinued operations (in thousands):</w:t>
      </w:r>
    </w:p>
    <w:p>
      <w:pPr>
        <w:pStyle w:val="TextBody"/>
        <w:bidi w:val="0"/>
        <w:spacing w:before="0" w:after="0"/>
        <w:ind w:left="8" w:right="0" w:hanging="0"/>
        <w:jc w:val="left"/>
        <w:rPr>
          <w:caps w:val="false"/>
          <w:smallCaps w:val="false"/>
        </w:rPr>
      </w:pPr>
      <w:r>
        <w:rPr>
          <w:caps w:val="false"/>
          <w:smallCaps w:val="false"/>
        </w:rPr>
        <w:t> </w:t>
      </w:r>
    </w:p>
    <w:tbl>
      <w:tblPr>
        <w:tblW w:w="7124" w:type="dxa"/>
        <w:jc w:val="left"/>
        <w:tblInd w:w="0" w:type="dxa"/>
        <w:tblLayout w:type="fixed"/>
        <w:tblCellMar>
          <w:top w:w="0" w:type="dxa"/>
          <w:left w:w="0" w:type="dxa"/>
          <w:bottom w:w="0" w:type="dxa"/>
          <w:right w:w="0" w:type="dxa"/>
        </w:tblCellMar>
      </w:tblPr>
      <w:tblGrid>
        <w:gridCol w:w="4235"/>
        <w:gridCol w:w="90"/>
        <w:gridCol w:w="325"/>
        <w:gridCol w:w="784"/>
        <w:gridCol w:w="239"/>
        <w:gridCol w:w="172"/>
        <w:gridCol w:w="325"/>
        <w:gridCol w:w="784"/>
        <w:gridCol w:w="170"/>
      </w:tblGrid>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29" w:type="dxa"/>
            <w:gridSpan w:val="6"/>
            <w:tcBorders>
              <w:bottom w:val="single" w:sz="12" w:space="0" w:color="000000"/>
            </w:tcBorders>
            <w:tcMar>
              <w:bottom w:w="28" w:type="dxa"/>
            </w:tcMar>
            <w:vAlign w:val="center"/>
          </w:tcPr>
          <w:p>
            <w:pPr>
              <w:pStyle w:val="TableContents"/>
              <w:bidi w:val="0"/>
              <w:spacing w:before="0" w:after="283"/>
              <w:jc w:val="center"/>
              <w:rPr/>
            </w:pPr>
            <w:r>
              <w:rPr/>
              <w:t>Years ended December 31,</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23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9"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9" w:type="dxa"/>
            <w:gridSpan w:val="2"/>
            <w:tcBorders/>
            <w:vAlign w:val="center"/>
          </w:tcPr>
          <w:p>
            <w:pPr>
              <w:pStyle w:val="TableContents"/>
              <w:bidi w:val="0"/>
              <w:spacing w:before="0" w:after="283"/>
              <w:jc w:val="right"/>
              <w:rPr/>
            </w:pPr>
            <w:r>
              <w:rPr/>
              <w:t> </w:t>
            </w:r>
          </w:p>
        </w:tc>
        <w:tc>
          <w:tcPr>
            <w:tcW w:w="23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10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23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Operating loss from discontinued operations</w:t>
            </w:r>
          </w:p>
        </w:tc>
        <w:tc>
          <w:tcPr>
            <w:tcW w:w="90"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(26</w:t>
            </w:r>
          </w:p>
        </w:tc>
        <w:tc>
          <w:tcPr>
            <w:tcW w:w="239" w:type="dxa"/>
            <w:tcBorders/>
            <w:vAlign w:val="center"/>
          </w:tcPr>
          <w:p>
            <w:pPr>
              <w:pStyle w:val="TableContents"/>
              <w:bidi w:val="0"/>
              <w:spacing w:before="0" w:after="283"/>
              <w:jc w:val="left"/>
              <w:rPr/>
            </w:pPr>
            <w:r>
              <w:rPr/>
              <w:t>)</w:t>
            </w:r>
          </w:p>
        </w:tc>
        <w:tc>
          <w:tcPr>
            <w:tcW w:w="172"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left"/>
              <w:rPr/>
            </w:pPr>
            <w:r>
              <w:rPr/>
              <w:t>Gain on disposal of assets</w:t>
            </w:r>
          </w:p>
        </w:tc>
        <w:tc>
          <w:tcPr>
            <w:tcW w:w="9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110</w:t>
            </w:r>
          </w:p>
        </w:tc>
        <w:tc>
          <w:tcPr>
            <w:tcW w:w="23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0"/>
              <w:jc w:val="right"/>
              <w:rPr/>
            </w:pPr>
            <w:r>
              <w:rPr/>
              <w:t>—</w:t>
            </w:r>
          </w:p>
        </w:tc>
        <w:tc>
          <w:tcPr>
            <w:tcW w:w="239"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5"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195</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Total other income, net</w:t>
            </w:r>
          </w:p>
        </w:tc>
        <w:tc>
          <w:tcPr>
            <w:tcW w:w="90"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110</w:t>
            </w:r>
          </w:p>
        </w:tc>
        <w:tc>
          <w:tcPr>
            <w:tcW w:w="239"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195</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Net income from discontinued operations</w:t>
            </w:r>
          </w:p>
        </w:tc>
        <w:tc>
          <w:tcPr>
            <w:tcW w:w="90"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784" w:type="dxa"/>
            <w:tcBorders>
              <w:bottom w:val="double" w:sz="10" w:space="0" w:color="000000"/>
            </w:tcBorders>
            <w:tcMar>
              <w:bottom w:w="28" w:type="dxa"/>
            </w:tcMar>
            <w:vAlign w:val="center"/>
          </w:tcPr>
          <w:p>
            <w:pPr>
              <w:pStyle w:val="TableContents"/>
              <w:bidi w:val="0"/>
              <w:spacing w:before="0" w:after="283"/>
              <w:jc w:val="right"/>
              <w:rPr/>
            </w:pPr>
            <w:r>
              <w:rPr/>
              <w:t>84</w:t>
            </w:r>
          </w:p>
        </w:tc>
        <w:tc>
          <w:tcPr>
            <w:tcW w:w="23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c>
          <w:tcPr>
            <w:tcW w:w="325" w:type="dxa"/>
            <w:tcBorders>
              <w:bottom w:val="double" w:sz="10" w:space="0" w:color="000000"/>
            </w:tcBorders>
            <w:tcMar>
              <w:bottom w:w="28" w:type="dxa"/>
            </w:tcMar>
            <w:vAlign w:val="center"/>
          </w:tcPr>
          <w:p>
            <w:pPr>
              <w:pStyle w:val="TableContents"/>
              <w:bidi w:val="0"/>
              <w:spacing w:before="0" w:after="283"/>
              <w:jc w:val="left"/>
              <w:rPr/>
            </w:pPr>
            <w:r>
              <w:rPr/>
              <w:t>$</w:t>
            </w:r>
          </w:p>
        </w:tc>
        <w:tc>
          <w:tcPr>
            <w:tcW w:w="784" w:type="dxa"/>
            <w:tcBorders>
              <w:bottom w:val="double" w:sz="10" w:space="0" w:color="000000"/>
            </w:tcBorders>
            <w:tcMar>
              <w:bottom w:w="28" w:type="dxa"/>
            </w:tcMar>
            <w:vAlign w:val="center"/>
          </w:tcPr>
          <w:p>
            <w:pPr>
              <w:pStyle w:val="TableContents"/>
              <w:bidi w:val="0"/>
              <w:spacing w:before="0" w:after="283"/>
              <w:jc w:val="right"/>
              <w:rPr/>
            </w:pPr>
            <w:r>
              <w:rPr/>
              <w:t>131</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8"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carrying amounts of the classes of liabilities of discontinued operations (in thousands):</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4355"/>
        <w:gridCol w:w="90"/>
        <w:gridCol w:w="197"/>
        <w:gridCol w:w="683"/>
        <w:gridCol w:w="104"/>
        <w:gridCol w:w="104"/>
        <w:gridCol w:w="197"/>
        <w:gridCol w:w="683"/>
        <w:gridCol w:w="135"/>
      </w:tblGrid>
      <w:tr>
        <w:trPr/>
        <w:tc>
          <w:tcPr>
            <w:tcW w:w="4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Liabilities: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2,667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2,781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Prepaid and other current assets</w:t>
      </w:r>
    </w:p>
    <w:p>
      <w:pPr>
        <w:pStyle w:val="TextBody"/>
        <w:bidi w:val="0"/>
        <w:spacing w:before="0" w:after="0"/>
        <w:ind w:left="215"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prepaid and other current assets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3590"/>
        <w:gridCol w:w="90"/>
        <w:gridCol w:w="170"/>
        <w:gridCol w:w="590"/>
        <w:gridCol w:w="90"/>
        <w:gridCol w:w="90"/>
        <w:gridCol w:w="170"/>
        <w:gridCol w:w="590"/>
        <w:gridCol w:w="135"/>
      </w:tblGrid>
      <w:tr>
        <w:trPr/>
        <w:tc>
          <w:tcPr>
            <w:tcW w:w="3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3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Insurance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70</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Capitalized legal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2,334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2,334</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Rent Receivable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539</w:t>
            </w:r>
          </w:p>
        </w:tc>
        <w:tc>
          <w:tcPr>
            <w:tcW w:w="135" w:type="dxa"/>
            <w:tcBorders/>
            <w:shd w:fill="CCEEFF"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695</w:t>
            </w:r>
          </w:p>
        </w:tc>
        <w:tc>
          <w:tcPr>
            <w:tcW w:w="135"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283"/>
              <w:jc w:val="left"/>
              <w:rPr/>
            </w:pPr>
            <w:r>
              <w:rPr/>
              <w:t>Total prepaid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3,437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3,638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Licensed rights and other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provides information about our license rights and other intangible assets, net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60"/>
        <w:gridCol w:w="90"/>
        <w:gridCol w:w="199"/>
        <w:gridCol w:w="691"/>
        <w:gridCol w:w="90"/>
        <w:gridCol w:w="90"/>
        <w:gridCol w:w="293"/>
        <w:gridCol w:w="1017"/>
        <w:gridCol w:w="90"/>
        <w:gridCol w:w="90"/>
        <w:gridCol w:w="170"/>
        <w:gridCol w:w="590"/>
        <w:gridCol w:w="90"/>
        <w:gridCol w:w="90"/>
        <w:gridCol w:w="199"/>
        <w:gridCol w:w="691"/>
        <w:gridCol w:w="90"/>
        <w:gridCol w:w="90"/>
        <w:gridCol w:w="293"/>
        <w:gridCol w:w="1017"/>
        <w:gridCol w:w="90"/>
        <w:gridCol w:w="90"/>
        <w:gridCol w:w="170"/>
        <w:gridCol w:w="590"/>
        <w:gridCol w:w="135"/>
      </w:tblGrid>
      <w:tr>
        <w:trPr/>
        <w:tc>
          <w:tcPr>
            <w:tcW w:w="316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320" w:type="dxa"/>
            <w:gridSpan w:val="10"/>
            <w:tcBorders>
              <w:bottom w:val="single" w:sz="12" w:space="0" w:color="000000"/>
            </w:tcBorders>
            <w:tcMar>
              <w:bottom w:w="28" w:type="dxa"/>
            </w:tcMar>
            <w:vAlign w:val="center"/>
          </w:tcPr>
          <w:p>
            <w:pPr>
              <w:pStyle w:val="TableContents"/>
              <w:bidi w:val="0"/>
              <w:spacing w:before="0" w:after="283"/>
              <w:jc w:val="center"/>
              <w:rPr/>
            </w:pPr>
            <w:r>
              <w:rPr/>
              <w:t>As of 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20" w:type="dxa"/>
            <w:gridSpan w:val="10"/>
            <w:tcBorders>
              <w:bottom w:val="single" w:sz="12" w:space="0" w:color="000000"/>
            </w:tcBorders>
            <w:tcMar>
              <w:bottom w:w="28" w:type="dxa"/>
            </w:tcMar>
            <w:vAlign w:val="center"/>
          </w:tcPr>
          <w:p>
            <w:pPr>
              <w:pStyle w:val="TableContents"/>
              <w:bidi w:val="0"/>
              <w:spacing w:before="0" w:after="283"/>
              <w:jc w:val="center"/>
              <w:rPr/>
            </w:pPr>
            <w:r>
              <w:rPr/>
              <w:t>As of December 31, 2024</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Gross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Carrying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Accumulated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pPr>
            <w:r>
              <w:rPr/>
              <w:t>Amortization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Net</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Intangible assets subject to amortization:</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shd w:fill="CCEEFF" w:val="clear"/>
            <w:vAlign w:val="center"/>
          </w:tcPr>
          <w:p>
            <w:pPr>
              <w:pStyle w:val="TableContents"/>
              <w:bidi w:val="0"/>
              <w:spacing w:before="0" w:after="283"/>
              <w:jc w:val="left"/>
              <w:rPr/>
            </w:pPr>
            <w:r>
              <w:rPr/>
              <w:t>Hormone therapy drug patents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2,423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5,766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17" w:type="dxa"/>
            <w:tcBorders/>
            <w:shd w:fill="CCEEFF" w:val="clear"/>
            <w:vAlign w:val="center"/>
          </w:tcPr>
          <w:p>
            <w:pPr>
              <w:pStyle w:val="TableContents"/>
              <w:bidi w:val="0"/>
              <w:spacing w:before="0" w:after="283"/>
              <w:jc w:val="right"/>
              <w:rPr/>
            </w:pPr>
            <w:r>
              <w:rPr/>
              <w:t>2,058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3,708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Hormone therapy drug patents applied and pending approval</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single" w:sz="12" w:space="0" w:color="000000"/>
            </w:tcBorders>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tcMar>
              <w:bottom w:w="28" w:type="dxa"/>
            </w:tcMar>
            <w:vAlign w:val="center"/>
          </w:tcPr>
          <w:p>
            <w:pPr>
              <w:pStyle w:val="TableContents"/>
              <w:bidi w:val="0"/>
              <w:spacing w:before="0" w:after="283"/>
              <w:jc w:val="right"/>
              <w:rPr/>
            </w:pPr>
            <w:r>
              <w:rPr/>
              <w:t>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304</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shd w:fill="CCEEFF" w:val="clear"/>
            <w:vAlign w:val="center"/>
          </w:tcPr>
          <w:p>
            <w:pPr>
              <w:pStyle w:val="TableContents"/>
              <w:bidi w:val="0"/>
              <w:spacing w:before="0" w:after="283"/>
              <w:jc w:val="left"/>
              <w:rPr/>
            </w:pPr>
            <w:r>
              <w:rPr/>
              <w:t>Intangible assets subject to amortization</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5,875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2,423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6,070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2,058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4,012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Intangible assets not subject to amortization:</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3160" w:type="dxa"/>
            <w:tcBorders/>
            <w:shd w:fill="CCEEFF" w:val="clear"/>
            <w:vAlign w:val="center"/>
          </w:tcPr>
          <w:p>
            <w:pPr>
              <w:pStyle w:val="TableContents"/>
              <w:bidi w:val="0"/>
              <w:spacing w:before="0" w:after="283"/>
              <w:jc w:val="left"/>
              <w:rPr/>
            </w:pPr>
            <w:r>
              <w:rPr/>
              <w:t>Trademarks/trade name rights</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3160"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6,184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2,423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3,761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10" w:space="0" w:color="000000"/>
            </w:tcBorders>
            <w:tcMar>
              <w:bottom w:w="28" w:type="dxa"/>
            </w:tcMar>
            <w:vAlign w:val="center"/>
          </w:tcPr>
          <w:p>
            <w:pPr>
              <w:pStyle w:val="TableContents"/>
              <w:bidi w:val="0"/>
              <w:spacing w:before="0" w:after="283"/>
              <w:jc w:val="left"/>
              <w:rPr/>
            </w:pPr>
            <w:r>
              <w:rPr/>
              <w:t>$</w:t>
            </w:r>
          </w:p>
        </w:tc>
        <w:tc>
          <w:tcPr>
            <w:tcW w:w="691" w:type="dxa"/>
            <w:tcBorders>
              <w:bottom w:val="double" w:sz="10" w:space="0" w:color="000000"/>
            </w:tcBorders>
            <w:tcMar>
              <w:bottom w:w="28" w:type="dxa"/>
            </w:tcMar>
            <w:vAlign w:val="center"/>
          </w:tcPr>
          <w:p>
            <w:pPr>
              <w:pStyle w:val="TableContents"/>
              <w:bidi w:val="0"/>
              <w:spacing w:before="0" w:after="283"/>
              <w:jc w:val="right"/>
              <w:rPr/>
            </w:pPr>
            <w:r>
              <w:rPr/>
              <w:t>6,379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3" w:type="dxa"/>
            <w:tcBorders>
              <w:bottom w:val="double" w:sz="10" w:space="0" w:color="000000"/>
            </w:tcBorders>
            <w:tcMar>
              <w:bottom w:w="28" w:type="dxa"/>
            </w:tcMar>
            <w:vAlign w:val="center"/>
          </w:tcPr>
          <w:p>
            <w:pPr>
              <w:pStyle w:val="TableContents"/>
              <w:bidi w:val="0"/>
              <w:spacing w:before="0" w:after="283"/>
              <w:jc w:val="left"/>
              <w:rPr/>
            </w:pPr>
            <w:r>
              <w:rPr/>
              <w:t>$</w:t>
            </w:r>
          </w:p>
        </w:tc>
        <w:tc>
          <w:tcPr>
            <w:tcW w:w="1017" w:type="dxa"/>
            <w:tcBorders>
              <w:bottom w:val="double" w:sz="10" w:space="0" w:color="000000"/>
            </w:tcBorders>
            <w:tcMar>
              <w:bottom w:w="28" w:type="dxa"/>
            </w:tcMar>
            <w:vAlign w:val="center"/>
          </w:tcPr>
          <w:p>
            <w:pPr>
              <w:pStyle w:val="TableContents"/>
              <w:bidi w:val="0"/>
              <w:spacing w:before="0" w:after="283"/>
              <w:jc w:val="right"/>
              <w:rPr/>
            </w:pPr>
            <w:r>
              <w:rPr/>
              <w:t>2,058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4,321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in continuing operations, amortization expense related to patents of $384 thousand for 2025 and $509 thousand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regular reviews of the individual patents and portfolios. During the year ended December 31, 2025, we recorded $176 thousand in write-off of patents pending approval as result of our review. For the year ended December 31, 2024, we recognized an impairment loss of $1,268 thousand related to those abandoned patents and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intangible assets subject to amortization are expected to be amortized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3615" w:type="dxa"/>
        <w:jc w:val="left"/>
        <w:tblInd w:w="0" w:type="dxa"/>
        <w:tblLayout w:type="fixed"/>
        <w:tblCellMar>
          <w:top w:w="0" w:type="dxa"/>
          <w:left w:w="0" w:type="dxa"/>
          <w:bottom w:w="28" w:type="dxa"/>
          <w:right w:w="0" w:type="dxa"/>
        </w:tblCellMar>
      </w:tblPr>
      <w:tblGrid>
        <w:gridCol w:w="2630"/>
        <w:gridCol w:w="90"/>
        <w:gridCol w:w="170"/>
        <w:gridCol w:w="590"/>
        <w:gridCol w:w="135"/>
      </w:tblGrid>
      <w:tr>
        <w:trPr/>
        <w:tc>
          <w:tcPr>
            <w:tcW w:w="2630" w:type="dxa"/>
            <w:tcBorders>
              <w:bottom w:val="single" w:sz="12" w:space="0" w:color="000000"/>
            </w:tcBorders>
            <w:vAlign w:val="center"/>
          </w:tcPr>
          <w:p>
            <w:pPr>
              <w:pStyle w:val="TableContents"/>
              <w:bidi w:val="0"/>
              <w:spacing w:before="0" w:after="283"/>
              <w:jc w:val="left"/>
              <w:rPr/>
            </w:pPr>
            <w:r>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380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380</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380</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380</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630"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right"/>
              <w:rPr/>
            </w:pPr>
            <w:r>
              <w:rPr/>
              <w:t>1,372</w:t>
            </w:r>
          </w:p>
        </w:tc>
        <w:tc>
          <w:tcPr>
            <w:tcW w:w="135" w:type="dxa"/>
            <w:tcBorders/>
            <w:tcMar>
              <w:bottom w:w="0" w:type="dxa"/>
            </w:tcMar>
            <w:vAlign w:val="center"/>
          </w:tcPr>
          <w:p>
            <w:pPr>
              <w:pStyle w:val="TableContents"/>
              <w:bidi w:val="0"/>
              <w:spacing w:before="0" w:after="283"/>
              <w:jc w:val="left"/>
              <w:rPr/>
            </w:pPr>
            <w:r>
              <w:rPr/>
              <w:t> </w:t>
            </w:r>
          </w:p>
        </w:tc>
      </w:tr>
      <w:tr>
        <w:trPr/>
        <w:tc>
          <w:tcPr>
            <w:tcW w:w="2630"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590" w:type="dxa"/>
            <w:tcBorders>
              <w:bottom w:val="double" w:sz="10" w:space="0" w:color="000000"/>
            </w:tcBorders>
            <w:shd w:fill="CCEEFF" w:val="clear"/>
            <w:vAlign w:val="center"/>
          </w:tcPr>
          <w:p>
            <w:pPr>
              <w:pStyle w:val="TableContents"/>
              <w:bidi w:val="0"/>
              <w:spacing w:before="0" w:after="283"/>
              <w:jc w:val="right"/>
              <w:rPr/>
            </w:pPr>
            <w:r>
              <w:rPr/>
              <w:t>3,272</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accrued expenses and other current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4355"/>
        <w:gridCol w:w="90"/>
        <w:gridCol w:w="197"/>
        <w:gridCol w:w="683"/>
        <w:gridCol w:w="104"/>
        <w:gridCol w:w="104"/>
        <w:gridCol w:w="197"/>
        <w:gridCol w:w="683"/>
        <w:gridCol w:w="135"/>
      </w:tblGrid>
      <w:tr>
        <w:trPr/>
        <w:tc>
          <w:tcPr>
            <w:tcW w:w="4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3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Payroll and related costs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310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92</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Professional fees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265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288</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975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1,633</w:t>
            </w:r>
          </w:p>
        </w:tc>
        <w:tc>
          <w:tcPr>
            <w:tcW w:w="135" w:type="dxa"/>
            <w:tcBorders/>
            <w:shd w:fill="CCEEFF" w:val="clear"/>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Other accrued expenses and current liabilities</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191</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114</w:t>
            </w:r>
          </w:p>
        </w:tc>
        <w:tc>
          <w:tcPr>
            <w:tcW w:w="13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1,741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2,127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no advertising costs in 2025 and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Interest and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was $150 thousand for the year ended 2025, compared to $145 thousand for the year ended 2024. Interest expense and other financing costs were $8 thousand in 2025, compared to $10 thousand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2018, we entered into a lease for executive, administrative, operations and sales offices in Boca Raton, Florida. The lease includes 62,748 rentable square feet, or the full premises, of which the lease on 7,561 square feet commenced in 2018 and the lease on 48,651 square feet commenced in August 2019, or the full premises commencement date. In June 2019, we entered into an agreement with the same lessors to lease additional 6,536 square feet of administrative office space in the same location, pursuant to an addendum to such lease, which commenced in May 2020. The lease will expire 11 years after the full premises commencement date, unless terminated earlier in accordance with the terms of the lease. We have the option to extend the term of the lease for two additional consecutive periods of five years. The extension option is not included in the determination of the lease term as it is not reasonably certain to be exercised. The term of the lease includes escalating rent and free rent periods. We are also responsible for certain other operating costs under the lease, including electricity and utility expenses. As a result of shifting our business to become a license company and terminating our employees, we have sublet all of our headquarters. We anticipate that sublease income will approximate the amounts due under our existing leases, therefore no impairment of the right of use asset was recorded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and 2024, operating lease expense (including all variable costs) related to our real estate leases was $2,310 thousand and $2,271 thousand, respectively. We subleased all our space in 2025. Sublease rental income was $1,847 thousand and $1,352 thousand for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remaining lease payments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28" w:type="dxa"/>
          <w:right w:w="0" w:type="dxa"/>
        </w:tblCellMar>
      </w:tblPr>
      <w:tblGrid>
        <w:gridCol w:w="3365"/>
        <w:gridCol w:w="90"/>
        <w:gridCol w:w="170"/>
        <w:gridCol w:w="665"/>
        <w:gridCol w:w="170"/>
      </w:tblGrid>
      <w:tr>
        <w:trPr/>
        <w:tc>
          <w:tcPr>
            <w:tcW w:w="3365" w:type="dxa"/>
            <w:tcBorders>
              <w:bottom w:val="single" w:sz="12" w:space="0" w:color="000000"/>
            </w:tcBorders>
            <w:vAlign w:val="center"/>
          </w:tcPr>
          <w:p>
            <w:pPr>
              <w:pStyle w:val="TableContents"/>
              <w:bidi w:val="0"/>
              <w:spacing w:before="0" w:after="283"/>
              <w:jc w:val="left"/>
              <w:rPr/>
            </w:pPr>
            <w:r>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835"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665" w:type="dxa"/>
            <w:tcBorders/>
            <w:shd w:fill="CCEEFF" w:val="clear"/>
            <w:tcMar>
              <w:bottom w:w="0" w:type="dxa"/>
            </w:tcMar>
            <w:vAlign w:val="center"/>
          </w:tcPr>
          <w:p>
            <w:pPr>
              <w:pStyle w:val="TableContents"/>
              <w:bidi w:val="0"/>
              <w:spacing w:before="0" w:after="283"/>
              <w:jc w:val="right"/>
              <w:rPr/>
            </w:pPr>
            <w:r>
              <w:rPr/>
              <w:t>1,423</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2027</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1,590</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1,630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665" w:type="dxa"/>
            <w:tcBorders/>
            <w:tcMar>
              <w:bottom w:w="0" w:type="dxa"/>
            </w:tcMar>
            <w:vAlign w:val="center"/>
          </w:tcPr>
          <w:p>
            <w:pPr>
              <w:pStyle w:val="TableContents"/>
              <w:bidi w:val="0"/>
              <w:spacing w:before="0" w:after="283"/>
              <w:jc w:val="right"/>
              <w:rPr/>
            </w:pPr>
            <w:r>
              <w:rPr/>
              <w:t>1,671</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2030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992</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Thereafter</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0"/>
              <w:jc w:val="right"/>
              <w:rPr/>
            </w:pPr>
            <w:r>
              <w:rPr/>
              <w:t>—</w:t>
            </w:r>
          </w:p>
        </w:tc>
        <w:tc>
          <w:tcPr>
            <w:tcW w:w="170" w:type="dxa"/>
            <w:tcBorders/>
            <w:tcMar>
              <w:bottom w:w="0" w:type="dxa"/>
            </w:tcMar>
            <w:vAlign w:val="center"/>
          </w:tcPr>
          <w:p>
            <w:pPr>
              <w:pStyle w:val="TableContents"/>
              <w:bidi w:val="0"/>
              <w:spacing w:before="0" w:after="283"/>
              <w:jc w:val="left"/>
              <w:rPr/>
            </w:pPr>
            <w:r>
              <w:rPr/>
              <w:t> </w:t>
            </w:r>
          </w:p>
        </w:tc>
      </w:tr>
      <w:tr>
        <w:trPr/>
        <w:tc>
          <w:tcPr>
            <w:tcW w:w="3365" w:type="dxa"/>
            <w:tcBorders/>
            <w:shd w:fill="CCEEFF" w:val="clear"/>
            <w:tcMar>
              <w:bottom w:w="0" w:type="dxa"/>
            </w:tcMar>
            <w:vAlign w:val="center"/>
          </w:tcPr>
          <w:p>
            <w:pPr>
              <w:pStyle w:val="TableContents"/>
              <w:bidi w:val="0"/>
              <w:spacing w:before="0" w:after="283"/>
              <w:jc w:val="left"/>
              <w:rPr/>
            </w:pPr>
            <w:r>
              <w:rPr/>
              <w:t>Total undiscounted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665" w:type="dxa"/>
            <w:tcBorders/>
            <w:shd w:fill="CCEEFF" w:val="clear"/>
            <w:tcMar>
              <w:bottom w:w="0" w:type="dxa"/>
            </w:tcMar>
            <w:vAlign w:val="center"/>
          </w:tcPr>
          <w:p>
            <w:pPr>
              <w:pStyle w:val="TableContents"/>
              <w:bidi w:val="0"/>
              <w:spacing w:before="0" w:after="283"/>
              <w:jc w:val="right"/>
              <w:rPr/>
            </w:pPr>
            <w:r>
              <w:rPr/>
              <w:t>7,306</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365" w:type="dxa"/>
            <w:tcBorders/>
            <w:tcMar>
              <w:bottom w:w="0" w:type="dxa"/>
            </w:tcMar>
            <w:vAlign w:val="center"/>
          </w:tcPr>
          <w:p>
            <w:pPr>
              <w:pStyle w:val="TableContents"/>
              <w:bidi w:val="0"/>
              <w:spacing w:before="0" w:after="283"/>
              <w:jc w:val="left"/>
              <w:rPr/>
            </w:pPr>
            <w:r>
              <w:rPr/>
              <w:t>Less: imputed interest</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12" w:space="0" w:color="000000"/>
            </w:tcBorders>
            <w:vAlign w:val="center"/>
          </w:tcPr>
          <w:p>
            <w:pPr>
              <w:pStyle w:val="TableContents"/>
              <w:bidi w:val="0"/>
              <w:spacing w:before="0" w:after="283"/>
              <w:jc w:val="left"/>
              <w:rPr/>
            </w:pPr>
            <w:r>
              <w:rPr/>
              <w:t> </w:t>
            </w:r>
          </w:p>
        </w:tc>
        <w:tc>
          <w:tcPr>
            <w:tcW w:w="665" w:type="dxa"/>
            <w:tcBorders>
              <w:bottom w:val="single" w:sz="12" w:space="0" w:color="000000"/>
            </w:tcBorders>
            <w:vAlign w:val="center"/>
          </w:tcPr>
          <w:p>
            <w:pPr>
              <w:pStyle w:val="TableContents"/>
              <w:bidi w:val="0"/>
              <w:spacing w:before="0" w:after="283"/>
              <w:jc w:val="right"/>
              <w:rPr/>
            </w:pPr>
            <w:r>
              <w:rPr/>
              <w:t>(1,209</w:t>
            </w:r>
          </w:p>
        </w:tc>
        <w:tc>
          <w:tcPr>
            <w:tcW w:w="170" w:type="dxa"/>
            <w:tcBorders/>
            <w:tcMar>
              <w:bottom w:w="0" w:type="dxa"/>
            </w:tcMar>
            <w:vAlign w:val="center"/>
          </w:tcPr>
          <w:p>
            <w:pPr>
              <w:pStyle w:val="TableContents"/>
              <w:bidi w:val="0"/>
              <w:spacing w:before="0" w:after="283"/>
              <w:jc w:val="left"/>
              <w:rPr/>
            </w:pPr>
            <w:r>
              <w:rPr/>
              <w:t>)</w:t>
            </w:r>
          </w:p>
        </w:tc>
      </w:tr>
      <w:tr>
        <w:trPr/>
        <w:tc>
          <w:tcPr>
            <w:tcW w:w="3365" w:type="dxa"/>
            <w:tcBorders/>
            <w:shd w:fill="CCEEFF" w:val="clear"/>
            <w:tcMar>
              <w:bottom w:w="0" w:type="dxa"/>
            </w:tcMar>
            <w:vAlign w:val="center"/>
          </w:tcPr>
          <w:p>
            <w:pPr>
              <w:pStyle w:val="TableContents"/>
              <w:bidi w:val="0"/>
              <w:spacing w:before="0" w:after="283"/>
              <w:jc w:val="left"/>
              <w:rPr/>
            </w:pPr>
            <w:r>
              <w:rPr/>
              <w:t>Present value of lease payments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bottom w:val="double" w:sz="10" w:space="0" w:color="000000"/>
            </w:tcBorders>
            <w:shd w:fill="CCEEFF" w:val="clear"/>
            <w:vAlign w:val="center"/>
          </w:tcPr>
          <w:p>
            <w:pPr>
              <w:pStyle w:val="TableContents"/>
              <w:bidi w:val="0"/>
              <w:spacing w:before="0" w:after="283"/>
              <w:jc w:val="left"/>
              <w:rPr/>
            </w:pPr>
            <w:r>
              <w:rPr/>
              <w:t>$</w:t>
            </w:r>
          </w:p>
        </w:tc>
        <w:tc>
          <w:tcPr>
            <w:tcW w:w="665" w:type="dxa"/>
            <w:tcBorders>
              <w:bottom w:val="double" w:sz="10" w:space="0" w:color="000000"/>
            </w:tcBorders>
            <w:shd w:fill="CCEEFF" w:val="clear"/>
            <w:vAlign w:val="center"/>
          </w:tcPr>
          <w:p>
            <w:pPr>
              <w:pStyle w:val="TableContents"/>
              <w:bidi w:val="0"/>
              <w:spacing w:before="0" w:after="283"/>
              <w:jc w:val="right"/>
              <w:rPr/>
            </w:pPr>
            <w:r>
              <w:rPr/>
              <w:t>6,097</w:t>
            </w:r>
          </w:p>
        </w:tc>
        <w:tc>
          <w:tcPr>
            <w:tcW w:w="1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5"/>
        <w:gridCol w:w="90"/>
        <w:gridCol w:w="194"/>
        <w:gridCol w:w="674"/>
        <w:gridCol w:w="102"/>
        <w:gridCol w:w="102"/>
        <w:gridCol w:w="194"/>
        <w:gridCol w:w="674"/>
        <w:gridCol w:w="140"/>
      </w:tblGrid>
      <w:tr>
        <w:trPr/>
        <w:tc>
          <w:tcPr>
            <w:tcW w:w="803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8"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shd w:fill="CCEEFF" w:val="clear"/>
            <w:tcMar>
              <w:bottom w:w="28" w:type="dxa"/>
            </w:tcMar>
            <w:vAlign w:val="center"/>
          </w:tcPr>
          <w:p>
            <w:pPr>
              <w:pStyle w:val="TableContents"/>
              <w:bidi w:val="0"/>
              <w:spacing w:before="0" w:after="283"/>
              <w:jc w:val="right"/>
              <w:rPr/>
            </w:pPr>
            <w:r>
              <w:rPr/>
              <w:t>5,293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shd w:fill="CCEEFF" w:val="clear"/>
            <w:tcMar>
              <w:bottom w:w="28" w:type="dxa"/>
            </w:tcMar>
            <w:vAlign w:val="center"/>
          </w:tcPr>
          <w:p>
            <w:pPr>
              <w:pStyle w:val="TableContents"/>
              <w:bidi w:val="0"/>
              <w:spacing w:before="0" w:after="283"/>
              <w:jc w:val="right"/>
              <w:rPr/>
            </w:pPr>
            <w:r>
              <w:rPr/>
              <w:t>6,102</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shd w:fill="CCEEFF" w:val="clear"/>
            <w:vAlign w:val="center"/>
          </w:tcPr>
          <w:p>
            <w:pPr>
              <w:pStyle w:val="TableContents"/>
              <w:bidi w:val="0"/>
              <w:spacing w:before="0" w:after="283"/>
              <w:jc w:val="left"/>
              <w:rPr/>
            </w:pPr>
            <w:r>
              <w:rPr/>
              <w:t>Liabilities:</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Operating lease liabilities current (included in accrued expenses and other current liabilities)</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975</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1,633</w:t>
            </w:r>
          </w:p>
        </w:tc>
        <w:tc>
          <w:tcPr>
            <w:tcW w:w="140" w:type="dxa"/>
            <w:tcBorders/>
            <w:vAlign w:val="center"/>
          </w:tcPr>
          <w:p>
            <w:pPr>
              <w:pStyle w:val="TableContents"/>
              <w:bidi w:val="0"/>
              <w:spacing w:before="0" w:after="283"/>
              <w:ind w:left="0" w:right="0" w:hanging="180"/>
              <w:jc w:val="left"/>
              <w:rPr/>
            </w:pPr>
            <w:r>
              <w:rPr/>
              <w:t> </w:t>
            </w:r>
          </w:p>
        </w:tc>
      </w:tr>
      <w:tr>
        <w:trPr/>
        <w:tc>
          <w:tcPr>
            <w:tcW w:w="8035" w:type="dxa"/>
            <w:tcBorders/>
            <w:shd w:fill="CCEEFF" w:val="clear"/>
            <w:vAlign w:val="center"/>
          </w:tcPr>
          <w:p>
            <w:pPr>
              <w:pStyle w:val="TableContents"/>
              <w:bidi w:val="0"/>
              <w:spacing w:before="0" w:after="283"/>
              <w:jc w:val="left"/>
              <w:rPr/>
            </w:pPr>
            <w:r>
              <w:rPr/>
              <w:t>Operating lease liabilities, non-current</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5,122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4" w:type="dxa"/>
            <w:tcBorders>
              <w:bottom w:val="single" w:sz="12" w:space="0" w:color="000000"/>
            </w:tcBorders>
            <w:shd w:fill="CCEEFF" w:val="clear"/>
            <w:tcMar>
              <w:bottom w:w="28" w:type="dxa"/>
            </w:tcMar>
            <w:vAlign w:val="center"/>
          </w:tcPr>
          <w:p>
            <w:pPr>
              <w:pStyle w:val="TableContents"/>
              <w:bidi w:val="0"/>
              <w:spacing w:before="0" w:after="283"/>
              <w:jc w:val="right"/>
              <w:rPr/>
            </w:pPr>
            <w:r>
              <w:rPr/>
              <w:t>5,542</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8035" w:type="dxa"/>
            <w:tcBorders/>
            <w:vAlign w:val="center"/>
          </w:tcPr>
          <w:p>
            <w:pPr>
              <w:pStyle w:val="TableContents"/>
              <w:bidi w:val="0"/>
              <w:spacing w:before="0" w:after="283"/>
              <w:jc w:val="left"/>
              <w:rPr/>
            </w:pPr>
            <w:r>
              <w:rPr/>
              <w:t>Total operating lease liabilities</w:t>
            </w:r>
          </w:p>
        </w:tc>
        <w:tc>
          <w:tcPr>
            <w:tcW w:w="90"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tcMar>
              <w:bottom w:w="28" w:type="dxa"/>
            </w:tcMar>
            <w:vAlign w:val="center"/>
          </w:tcPr>
          <w:p>
            <w:pPr>
              <w:pStyle w:val="TableContents"/>
              <w:bidi w:val="0"/>
              <w:spacing w:before="0" w:after="283"/>
              <w:jc w:val="right"/>
              <w:rPr/>
            </w:pPr>
            <w:r>
              <w:rPr/>
              <w:t>6,097</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double" w:sz="10" w:space="0" w:color="000000"/>
            </w:tcBorders>
            <w:tcMar>
              <w:bottom w:w="28" w:type="dxa"/>
            </w:tcMar>
            <w:vAlign w:val="center"/>
          </w:tcPr>
          <w:p>
            <w:pPr>
              <w:pStyle w:val="TableContents"/>
              <w:bidi w:val="0"/>
              <w:spacing w:before="0" w:after="283"/>
              <w:jc w:val="left"/>
              <w:rPr/>
            </w:pPr>
            <w:r>
              <w:rPr/>
              <w:t>$</w:t>
            </w:r>
          </w:p>
        </w:tc>
        <w:tc>
          <w:tcPr>
            <w:tcW w:w="674" w:type="dxa"/>
            <w:tcBorders>
              <w:bottom w:val="double" w:sz="10" w:space="0" w:color="000000"/>
            </w:tcBorders>
            <w:tcMar>
              <w:bottom w:w="28" w:type="dxa"/>
            </w:tcMar>
            <w:vAlign w:val="center"/>
          </w:tcPr>
          <w:p>
            <w:pPr>
              <w:pStyle w:val="TableContents"/>
              <w:bidi w:val="0"/>
              <w:spacing w:before="0" w:after="283"/>
              <w:jc w:val="right"/>
              <w:rPr/>
            </w:pPr>
            <w:r>
              <w:rPr/>
              <w:t>7,175</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other information related to leases: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2"/>
        <w:gridCol w:w="90"/>
        <w:gridCol w:w="177"/>
        <w:gridCol w:w="617"/>
        <w:gridCol w:w="256"/>
        <w:gridCol w:w="93"/>
        <w:gridCol w:w="177"/>
        <w:gridCol w:w="617"/>
        <w:gridCol w:w="256"/>
      </w:tblGrid>
      <w:tr>
        <w:trPr/>
        <w:tc>
          <w:tcPr>
            <w:tcW w:w="79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7"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256" w:type="dxa"/>
            <w:tcBorders/>
            <w:vAlign w:val="center"/>
          </w:tcPr>
          <w:p>
            <w:pPr>
              <w:pStyle w:val="TableContents"/>
              <w:bidi w:val="0"/>
              <w:spacing w:before="0" w:after="283"/>
              <w:jc w:val="left"/>
              <w:rPr/>
            </w:pPr>
            <w:r>
              <w:rPr/>
              <w:t> </w:t>
            </w:r>
          </w:p>
        </w:tc>
      </w:tr>
      <w:tr>
        <w:trPr/>
        <w:tc>
          <w:tcPr>
            <w:tcW w:w="79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256"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256" w:type="dxa"/>
            <w:tcBorders/>
            <w:vAlign w:val="center"/>
          </w:tcPr>
          <w:p>
            <w:pPr>
              <w:pStyle w:val="TableContents"/>
              <w:bidi w:val="0"/>
              <w:spacing w:before="0" w:after="283"/>
              <w:ind w:left="0" w:right="0" w:hanging="180"/>
              <w:jc w:val="left"/>
              <w:rPr/>
            </w:pPr>
            <w:r>
              <w:rPr/>
              <w:t> </w:t>
            </w:r>
          </w:p>
        </w:tc>
      </w:tr>
      <w:tr>
        <w:trPr/>
        <w:tc>
          <w:tcPr>
            <w:tcW w:w="7922" w:type="dxa"/>
            <w:tcBorders/>
            <w:shd w:fill="CCEEFF" w:val="clear"/>
            <w:vAlign w:val="center"/>
          </w:tcPr>
          <w:p>
            <w:pPr>
              <w:pStyle w:val="TableContents"/>
              <w:bidi w:val="0"/>
              <w:spacing w:before="0" w:after="283"/>
              <w:jc w:val="left"/>
              <w:rPr/>
            </w:pPr>
            <w:r>
              <w:rPr/>
              <w:t>Weighted average remaining term (years) - operating leases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4.7</w:t>
            </w:r>
          </w:p>
        </w:tc>
        <w:tc>
          <w:tcPr>
            <w:tcW w:w="25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5.7</w:t>
            </w:r>
          </w:p>
        </w:tc>
        <w:tc>
          <w:tcPr>
            <w:tcW w:w="256" w:type="dxa"/>
            <w:tcBorders/>
            <w:shd w:fill="CCEEFF" w:val="clear"/>
            <w:vAlign w:val="center"/>
          </w:tcPr>
          <w:p>
            <w:pPr>
              <w:pStyle w:val="TableContents"/>
              <w:bidi w:val="0"/>
              <w:spacing w:before="0" w:after="283"/>
              <w:ind w:left="0" w:right="0" w:hanging="180"/>
              <w:jc w:val="left"/>
              <w:rPr/>
            </w:pPr>
            <w:r>
              <w:rPr/>
              <w:t> </w:t>
            </w:r>
          </w:p>
        </w:tc>
      </w:tr>
      <w:tr>
        <w:trPr/>
        <w:tc>
          <w:tcPr>
            <w:tcW w:w="7922" w:type="dxa"/>
            <w:tcBorders/>
            <w:vAlign w:val="center"/>
          </w:tcPr>
          <w:p>
            <w:pPr>
              <w:pStyle w:val="TableContents"/>
              <w:bidi w:val="0"/>
              <w:spacing w:before="0" w:after="283"/>
              <w:jc w:val="left"/>
              <w:rPr/>
            </w:pPr>
            <w:r>
              <w:rPr/>
              <w:t>Weighted average discount rate - operating leases</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8.3</w:t>
            </w:r>
          </w:p>
        </w:tc>
        <w:tc>
          <w:tcPr>
            <w:tcW w:w="256"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8.3</w:t>
            </w:r>
          </w:p>
        </w:tc>
        <w:tc>
          <w:tcPr>
            <w:tcW w:w="256" w:type="dxa"/>
            <w:tcBorders/>
            <w:vAlign w:val="center"/>
          </w:tcPr>
          <w:p>
            <w:pPr>
              <w:pStyle w:val="TableContents"/>
              <w:bidi w:val="0"/>
              <w:spacing w:before="0" w:after="283"/>
              <w:ind w:left="0" w:right="0" w:hanging="180"/>
              <w:jc w:val="left"/>
              <w:rPr/>
            </w:pPr>
            <w:r>
              <w:rPr/>
              <w:t>%</w:t>
            </w:r>
          </w:p>
        </w:tc>
      </w:tr>
      <w:tr>
        <w:trPr/>
        <w:tc>
          <w:tcPr>
            <w:tcW w:w="7922" w:type="dxa"/>
            <w:tcBorders/>
            <w:shd w:fill="CCEEFF" w:val="clear"/>
            <w:vAlign w:val="center"/>
          </w:tcPr>
          <w:p>
            <w:pPr>
              <w:pStyle w:val="TableContents"/>
              <w:bidi w:val="0"/>
              <w:spacing w:before="0" w:after="283"/>
              <w:jc w:val="left"/>
              <w:rPr/>
            </w:pPr>
            <w:r>
              <w:rPr/>
              <w:t>Cash paid for amounts included in the measurement of lease liabilities from operating lease (in thousands)</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1,513</w:t>
            </w:r>
          </w:p>
        </w:tc>
        <w:tc>
          <w:tcPr>
            <w:tcW w:w="256"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1,477</w:t>
            </w:r>
          </w:p>
        </w:tc>
        <w:tc>
          <w:tcPr>
            <w:tcW w:w="25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Mayne Pharma Agreement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Mayne Pharma paid us approximately $12.1 million at closing on December 30, 2022, for the acquisition of net working capital, subject to certain adjustments as determined in accordance with the Transaction Agreement. While the Transaction Agreement calls for much of the net working capital to be trued-up shortly after the Closing Date in 2023, for a period of one year following the Closing Date in the case of payer rebates and wholesale distributor fees and two years following the Closing Date in the case for allowance for returns, net working capital amounts will be adjusted to arrive at final net working capital under the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increased certain accrual estimates including increasing our working capital adjustment accrual by $2.0 million for amounts anticipated to be owed under the Transaction Agreement. In December 2023, we made a $5.5 million payment to Mayne Pharma to settle certain working capital amounts that were required to be trued-up shortly after the Closing Date, excluding the allowance for returns, allowance for payer rebates, and allowance for wholesale distributor fees. Of the $5.5 million, $2.0 million increased the allowance for net working capital allowances remaining to be trued 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 of the allowance for payer rebates and wholesale distributor fees was determined in accordance with the Transaction Agreement which establishes the process for the determination of net working capital. In February 2024, we received Mayne Pharma’s calculation of the net working capital allowances for payer rebates and wholesale distributor fees pursuant to the Transaction Agreement, which differed significantly from our estimate of the allowances. We continue to believe our estimated allowances for payer rebates and wholesale distributor fees are reasonable. In August 2024 and in February 2025, we also received information from Mayne Pharma pertaining to the net working capital allowance for returns that differs significantly from our estimate of the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this matter is uncertain at this point. As a result, we cannot reasonably estimate a range of loss, and accordingly, we have not accrued any additional liability associated with Mayne Pharma’s allowance calculation for payer rebates and wholesale distributor fees, particularly as we believe the outcome of this matter to be intertwined with the resolution of the net working capital allowance for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also believed no additional accrual was required for amounts that may be owed for the allowance for returns under the Transaction Agreement. We have not recorded any contingent gains or receivables for any such allowances. Management continues to monitor the unresolved and pending net working capital items as changes to estimated amounts owed or amounts due from Mayne Pharma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2020, we received a Paragraph IV certification notice letter (the “IMVEXXY Notice Letter”) regarding an Abbreviated New Drug Application (“ANDA”) submitted to the FDA by Teva Pharmaceuticals USA, Inc. (“Teva”). The ANDA seeks approval from the FDA to commercially manufacture, use, or sell a generic version of the 4 mcg and 10 mcg doses of IMVEXXY. In the IMVEXXY Notice Letter, Teva alleges that TherapeuticsMD patents listed in the FDA’s Orange Book that claim compositions and methods of IMVEXXY (the “IMVEXXY Patents”) are invalid, unenforceable, and/or will not be infringed by Teva’s commercial manufacture, use, or sale of its proposed generic drug product. The IMVEXXY Patents identified in the IMVEXXY Notice Letter expire in 2032 or 2033. In April 2020, we filed a complaint for patent infringement against Teva in the United States District Court for the District of New Jersey arising from Teva’s ANDA filing with the FDA. We are seeking, among other relief, an order that the effective date of any FDA approval of Teva’s ANDA would be a date no earlier than the expiration of the IMVEXXY Patents and equitable relief enjoining Teva from infringing the IMVEXXY Patents. Teva has filed its answer and counterclaim to the complaint, alleging that the IMVEXXY Patents are invalid and not infringed. In July 2021, following a proposal by Teva, the District Court entered an order temporarily staying all proceedings in the IMVEXXY litigation, which order was filed under seal. In September 2021, the District Court made available a public version of the order following the parties’ agreement to a consent motion to redact information Teva contended was confidential. The order provides that the statutory stay that prevents the FDA from granting final approval of the ANDA for 30 months from the date of the IMVEXXY Notice Letter will be extended for the number of days that the stay of the IMVEXXY litigation is in place. In November 2024, the court lifted the stay. We have incurred and recorded legal costs amounting to $2,334 thousand in prepaid expenses and other current assets as of December 31, 2025 and 2024, for the IMVEXXY Paragraph IV legal proceeding since we believe that we will successfully prevail in this legal proceeding. Upon the successful conclusion of the legal proceeding, the related capitalized legal costs will be reclassified to patents, in license rights and other intangible assets, net, in the accompanying consolidated balance sheets, and such costs will be amortized over the remaining useful life of the patents. If Mayne Pharma is unsuccessful in this legal proceeding, then the related capitalized legal costs for this legal preceding and any unamortized IMVEXXY patent costs that were previously capitalized will be immediately expensed in the period in which we become aware of an unsuccessful legal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Mayne Pharma received a Paragraph IV certification notice letter (the “Sun Notice Letter”) regarding an ANDA submitted to the FDA by Sun Pharma Inc. (“Sun Pharma”). The ANDA seeks approval from the FDA to commercially manufacture, use, or sell a generic version of the 4 mcg and 10 mcg doses of IMVEXXY. In the Sun Notice Letter, Sun Pharma alleges that the IMVEXXY Patents are invalid, unenforceable, and/or will not be infringed by Sun Pharma’s commercial manufacture, use, or sale of its proposed generic drug product. The IMVEXXY Patents identified in the Sun Notice Letter expire in 2032 or 2033. In July 2024, we and Mayne Pharma filed a complaint for patent infringement against Sun Pharma in the United States District Court for the District of New Jersey arising from Sun Pharma’s ANDA filing with the FDA. We are seeking, among other relief, an order that the effective date of any FDA approval of Sun Pharma’s ANDA would be a date no earlier than the expiration of the IMVEXXY Patents and equitable relief enjoining Sun Pharma from infringing the IMVEXXY Patents. As of December 31, 2025, the litigation remains ongoing and has progressed to claim construction, which the courts determine the meaning and scope of the asserted patent claims that will govern subsequent infringement and validity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on December 30, 2022 and per the Mayne License Agreement, Mayne Pharma is responsible for all enforcement of our patents, including the responsibility for and costs of litigation discussed above with respect to Teva and Sun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2025, we filed the Mayne Lawsuit seeking damages for breach of contract, breach of the implied covenant of good faith and fair dealing, fraudulent inducement, and unjust enrichment related to Mayne Pharma’s actions in relation to the License Agreement and the Transaction Agreement, primarily relating to the net working capital allowances and certain actions or inactions by Mayne Pharma relating thereto. On June 20, 2025, we filed an amended complaint against Mayne Pharma and on July 22, 2025, Mayne Pharma filed a motion to dismiss the Mayne Lawsuit. On March 23, 2026, a magistrate judge recommended that the court grant-in-part and deny-in-part Mayne Pharma’s motion to dismiss. The magistrate judge recommended granting Mayne’s motion to dismiss our claims for breach of the covenant of good faith and fair dealing, certain of our breach of contract claims and our claim for fraudulent inducement, but recommended the court grant us leave to amend the fraudulent inducement claim. The magistrate judge recommended denying Mayne’s motion to dismiss our other claims. The magistrate judge further recommended the court stay the Mayne Lawsuit while the parties submit the net working capital claims to a dispute resolution process. The parties have 14 days to object to these recommendations.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2025, Mayne Pharma filed the Mayne Countersuit seeking damages for breach of contract and fraudulent inducement related to the Transaction Agreement. As part of the Mayne Countersuit, Mayne Pharma also made certain indemnification demands under the Transaction Agreement, which we dispute. On July 28, 2025, we filed a motion to dismiss the fraudulent inducement claim in the Mayne Countersuit. On March 23, 2026, a magistrate judge recommended that the court grant our motion to dismiss Mayne Pharma’s claim for fraudulent inducement, but recommended the court deny our motion to dismiss Mayne Pharma’s other claims. The parties have 14 days to object to this recommendation. As of December 31, 2025, we believed no additional accrual was required for such claims, as we could not reasonably estimate a range of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other litigations and proceedings in the ordinary course of business. We are currently not involved in any other litigations and proceedings that we believe would have a material effect on our consolidated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there were no off-balance sheet arrangements that have had or are reasonably likely to have current or future effects on our financial condition, changes in financial condition, revenues or expenses, results of operations, liquidity, capital expenditures or capital resources that we consider material.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transformation into a pharmaceutical royalty company, the termination of our executive management team (except for Mr. Marlan Walker, our former General Counsel and current Chief Executive Officer) and all other employees was completed by December 30, 2022. Severance obligations for all employees other than executive officers were paid in full in the first quarter of 2023, and severance obligations for executive officers were paid out by the end of the first quarter of 2025. As of December 31, 2025, we employed one full-time employee primarily engaged in an executive position. We have engaged external consultants who support our relationship with current partners and assist with certain financial, IT, legal, and regulatory matters and the continued wind-down of our historical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of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2023, at our combined 2022 and 2023 Annual Meeting, our stockholders approved an amendment to our Amended and Restated Articles of Incorporation to increase the number of authorized shares of Common Stock from 12 million shares to 32 million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the Company’s stockholders approved an amendment to the Company’s Amended and Restated Articles of Incorporation to increase the number of authorized shares of Common Stock from 32 million shares to 640 million shares. The Certificate of Amendment was filed with the Secretary of State of Nevada on January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following table summarizes the status of our outstanding and exercisable warrants and related transactions since December 31, 2023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2390"/>
        <w:gridCol w:w="90"/>
        <w:gridCol w:w="198"/>
        <w:gridCol w:w="572"/>
        <w:gridCol w:w="121"/>
        <w:gridCol w:w="99"/>
        <w:gridCol w:w="170"/>
        <w:gridCol w:w="682"/>
        <w:gridCol w:w="99"/>
        <w:gridCol w:w="99"/>
        <w:gridCol w:w="262"/>
        <w:gridCol w:w="628"/>
        <w:gridCol w:w="99"/>
        <w:gridCol w:w="99"/>
        <w:gridCol w:w="230"/>
        <w:gridCol w:w="780"/>
        <w:gridCol w:w="135"/>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 outstanding and exercisable</w:t>
            </w:r>
          </w:p>
        </w:tc>
        <w:tc>
          <w:tcPr>
            <w:tcW w:w="13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Warrants</w:t>
            </w:r>
          </w:p>
        </w:tc>
        <w:tc>
          <w:tcPr>
            <w:tcW w:w="12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Exercise</w:t>
              <w:br/>
              <w:t>Price</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Remaining</w:t>
              <w:br/>
              <w:t>Contractual</w:t>
              <w:br/>
              <w:t>Life</w:t>
              <w:br/>
              <w:t>(in Years)</w:t>
            </w:r>
          </w:p>
        </w:tc>
        <w:tc>
          <w:tcPr>
            <w:tcW w:w="13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2023</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12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66.61</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57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82"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281.50</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2024</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2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c>
          <w:tcPr>
            <w:tcW w:w="135"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December 31, 2025</w:t>
            </w:r>
          </w:p>
        </w:tc>
        <w:tc>
          <w:tcPr>
            <w:tcW w:w="90" w:type="dxa"/>
            <w:tcBorders/>
            <w:vAlign w:val="center"/>
          </w:tcPr>
          <w:p>
            <w:pPr>
              <w:pStyle w:val="TableContents"/>
              <w:bidi w:val="0"/>
              <w:spacing w:before="0" w:after="283"/>
              <w:jc w:val="left"/>
              <w:rPr/>
            </w:pPr>
            <w:r>
              <w:rPr/>
              <w:t> </w:t>
            </w:r>
          </w:p>
        </w:tc>
        <w:tc>
          <w:tcPr>
            <w:tcW w:w="198" w:type="dxa"/>
            <w:tcBorders>
              <w:bottom w:val="double" w:sz="12" w:space="0" w:color="000000"/>
            </w:tcBorders>
            <w:tcMar>
              <w:bottom w:w="28" w:type="dxa"/>
            </w:tcMar>
            <w:vAlign w:val="center"/>
          </w:tcPr>
          <w:p>
            <w:pPr>
              <w:pStyle w:val="TableContents"/>
              <w:bidi w:val="0"/>
              <w:spacing w:before="0" w:after="283"/>
              <w:jc w:val="left"/>
              <w:rPr/>
            </w:pPr>
            <w:r>
              <w:rPr/>
              <w:t> </w:t>
            </w:r>
          </w:p>
        </w:tc>
        <w:tc>
          <w:tcPr>
            <w:tcW w:w="572"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2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70"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2"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62" w:type="dxa"/>
            <w:tcBorders>
              <w:bottom w:val="doub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bottom w:val="double" w:sz="12" w:space="0" w:color="000000"/>
            </w:tcBorders>
            <w:tcMar>
              <w:bottom w:w="28" w:type="dxa"/>
            </w:tcMar>
            <w:vAlign w:val="center"/>
          </w:tcPr>
          <w:p>
            <w:pPr>
              <w:pStyle w:val="TableContents"/>
              <w:bidi w:val="0"/>
              <w:spacing w:before="0" w:after="283"/>
              <w:jc w:val="right"/>
              <w:rPr/>
            </w:pPr>
            <w:r>
              <w:rPr/>
              <w:t>—</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0" w:type="dxa"/>
            <w:tcBorders>
              <w:bottom w:val="double" w:sz="12" w:space="0" w:color="000000"/>
            </w:tcBorders>
            <w:tcMar>
              <w:bottom w:w="28" w:type="dxa"/>
            </w:tcMar>
            <w:vAlign w:val="center"/>
          </w:tcPr>
          <w:p>
            <w:pPr>
              <w:pStyle w:val="TableContents"/>
              <w:bidi w:val="0"/>
              <w:spacing w:before="0" w:after="283"/>
              <w:jc w:val="left"/>
              <w:rPr/>
            </w:pPr>
            <w:r>
              <w:rPr/>
              <w:t> </w:t>
            </w:r>
          </w:p>
        </w:tc>
        <w:tc>
          <w:tcPr>
            <w:tcW w:w="7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 payment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105,512 shares of common stock were subject to outstanding awards under our share-based payment award plans and inducement grants (calculated using the base number of PSUs that may vest). As of December 31, 2025, 429,229 shares of common stock were available for future grants of share-based payment awards under the TherapeuticsMD, Inc. 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outstanding and exercisable options and related transactions since December 31, 2023 (in thousands, except weighted average exercise price and weighted average remaining contractual life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7"/>
        <w:gridCol w:w="90"/>
        <w:gridCol w:w="137"/>
        <w:gridCol w:w="558"/>
        <w:gridCol w:w="110"/>
        <w:gridCol w:w="90"/>
        <w:gridCol w:w="197"/>
        <w:gridCol w:w="788"/>
        <w:gridCol w:w="90"/>
        <w:gridCol w:w="90"/>
        <w:gridCol w:w="215"/>
        <w:gridCol w:w="770"/>
        <w:gridCol w:w="90"/>
        <w:gridCol w:w="90"/>
        <w:gridCol w:w="292"/>
        <w:gridCol w:w="991"/>
        <w:gridCol w:w="90"/>
        <w:gridCol w:w="90"/>
        <w:gridCol w:w="137"/>
        <w:gridCol w:w="558"/>
        <w:gridCol w:w="110"/>
        <w:gridCol w:w="90"/>
        <w:gridCol w:w="217"/>
        <w:gridCol w:w="628"/>
        <w:gridCol w:w="90"/>
        <w:gridCol w:w="90"/>
        <w:gridCol w:w="310"/>
        <w:gridCol w:w="580"/>
        <w:gridCol w:w="90"/>
        <w:gridCol w:w="90"/>
        <w:gridCol w:w="292"/>
        <w:gridCol w:w="991"/>
        <w:gridCol w:w="137"/>
      </w:tblGrid>
      <w:tr>
        <w:trPr/>
        <w:tc>
          <w:tcPr>
            <w:tcW w:w="10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08"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73"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Exercisable</w:t>
            </w:r>
          </w:p>
        </w:tc>
        <w:tc>
          <w:tcPr>
            <w:tcW w:w="137" w:type="dxa"/>
            <w:tcBorders/>
            <w:vAlign w:val="center"/>
          </w:tcPr>
          <w:p>
            <w:pPr>
              <w:pStyle w:val="TableContents"/>
              <w:bidi w:val="0"/>
              <w:spacing w:before="0" w:after="283"/>
              <w:jc w:val="left"/>
              <w:rPr/>
            </w:pPr>
            <w:r>
              <w:rPr/>
              <w:t> </w:t>
            </w:r>
          </w:p>
        </w:tc>
      </w:tr>
      <w:tr>
        <w:trPr/>
        <w:tc>
          <w:tcPr>
            <w:tcW w:w="10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Options</w:t>
              <w:br/>
              <w:t>Awards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Exercise 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Remaining Contractual Life (in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Options</w:t>
              <w:br/>
              <w:t>Awards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 Average Remaining Contractual Life (in Years)</w:t>
            </w:r>
          </w:p>
        </w:tc>
        <w:tc>
          <w:tcPr>
            <w:tcW w:w="137" w:type="dxa"/>
            <w:tcBorders/>
            <w:vAlign w:val="center"/>
          </w:tcPr>
          <w:p>
            <w:pPr>
              <w:pStyle w:val="TableContents"/>
              <w:bidi w:val="0"/>
              <w:spacing w:before="0" w:after="283"/>
              <w:ind w:left="0" w:right="0" w:hanging="180"/>
              <w:jc w:val="left"/>
              <w:rPr/>
            </w:pPr>
            <w:r>
              <w:rPr/>
              <w:t> </w:t>
            </w:r>
          </w:p>
        </w:tc>
      </w:tr>
      <w:tr>
        <w:trPr/>
        <w:tc>
          <w:tcPr>
            <w:tcW w:w="10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77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bottom w:val="single" w:sz="12" w:space="0" w:color="000000"/>
            </w:tcBorders>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single" w:sz="12" w:space="0" w:color="000000"/>
            </w:tcBorders>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tcMar>
              <w:bottom w:w="28" w:type="dxa"/>
            </w:tcMar>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10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8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ind w:left="0" w:right="0" w:hanging="180"/>
              <w:jc w:val="left"/>
              <w:rPr/>
            </w:pPr>
            <w:r>
              <w:rPr/>
              <w:t> </w:t>
            </w:r>
          </w:p>
        </w:tc>
      </w:tr>
      <w:tr>
        <w:trPr/>
        <w:tc>
          <w:tcPr>
            <w:tcW w:w="10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Expired</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406.20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ind w:left="0" w:right="0" w:hanging="180"/>
              <w:jc w:val="left"/>
              <w:rPr/>
            </w:pPr>
            <w:r>
              <w:rPr/>
              <w:t> </w:t>
            </w:r>
          </w:p>
        </w:tc>
      </w:tr>
      <w:tr>
        <w:trPr/>
        <w:tc>
          <w:tcPr>
            <w:tcW w:w="10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 as of December 31, 2025</w:t>
            </w:r>
          </w:p>
        </w:tc>
        <w:tc>
          <w:tcPr>
            <w:tcW w:w="90" w:type="dxa"/>
            <w:tcBorders/>
            <w:vAlign w:val="center"/>
          </w:tcPr>
          <w:p>
            <w:pPr>
              <w:pStyle w:val="TableContents"/>
              <w:bidi w:val="0"/>
              <w:spacing w:before="0" w:after="283"/>
              <w:jc w:val="left"/>
              <w:rPr/>
            </w:pPr>
            <w:r>
              <w:rPr/>
              <w:t> </w:t>
            </w:r>
          </w:p>
        </w:tc>
        <w:tc>
          <w:tcPr>
            <w:tcW w:w="137" w:type="dxa"/>
            <w:tcBorders>
              <w:bottom w:val="double" w:sz="12" w:space="0" w:color="000000"/>
            </w:tcBorders>
            <w:tcMar>
              <w:bottom w:w="28" w:type="dxa"/>
            </w:tcMar>
            <w:vAlign w:val="center"/>
          </w:tcPr>
          <w:p>
            <w:pPr>
              <w:pStyle w:val="TableContents"/>
              <w:bidi w:val="0"/>
              <w:spacing w:before="0" w:after="283"/>
              <w:jc w:val="left"/>
              <w:rPr/>
            </w:pPr>
            <w:r>
              <w:rPr/>
              <w:t> </w:t>
            </w:r>
          </w:p>
        </w:tc>
        <w:tc>
          <w:tcPr>
            <w:tcW w:w="55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double" w:sz="12" w:space="0" w:color="000000"/>
            </w:tcBorders>
            <w:tcMar>
              <w:bottom w:w="28" w:type="dxa"/>
            </w:tcMar>
            <w:vAlign w:val="center"/>
          </w:tcPr>
          <w:p>
            <w:pPr>
              <w:pStyle w:val="TableContents"/>
              <w:bidi w:val="0"/>
              <w:spacing w:before="0" w:after="283"/>
              <w:jc w:val="left"/>
              <w:rPr/>
            </w:pPr>
            <w:r>
              <w:rPr/>
              <w:t> </w:t>
            </w:r>
          </w:p>
        </w:tc>
        <w:tc>
          <w:tcPr>
            <w:tcW w:w="99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bottom w:val="double" w:sz="12" w:space="0" w:color="000000"/>
            </w:tcBorders>
            <w:tcMar>
              <w:bottom w:w="28" w:type="dxa"/>
            </w:tcMar>
            <w:vAlign w:val="center"/>
          </w:tcPr>
          <w:p>
            <w:pPr>
              <w:pStyle w:val="TableContents"/>
              <w:bidi w:val="0"/>
              <w:spacing w:before="0" w:after="283"/>
              <w:jc w:val="left"/>
              <w:rPr/>
            </w:pPr>
            <w:r>
              <w:rPr/>
              <w:t> </w:t>
            </w:r>
          </w:p>
        </w:tc>
        <w:tc>
          <w:tcPr>
            <w:tcW w:w="55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doub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0" w:type="dxa"/>
            <w:tcBorders>
              <w:bottom w:val="doub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2" w:type="dxa"/>
            <w:tcBorders>
              <w:bottom w:val="double" w:sz="12" w:space="0" w:color="000000"/>
            </w:tcBorders>
            <w:tcMar>
              <w:bottom w:w="28" w:type="dxa"/>
            </w:tcMar>
            <w:vAlign w:val="center"/>
          </w:tcPr>
          <w:p>
            <w:pPr>
              <w:pStyle w:val="TableContents"/>
              <w:bidi w:val="0"/>
              <w:spacing w:before="0" w:after="283"/>
              <w:jc w:val="left"/>
              <w:rPr/>
            </w:pPr>
            <w:r>
              <w:rPr/>
              <w:t> </w:t>
            </w:r>
          </w:p>
        </w:tc>
        <w:tc>
          <w:tcPr>
            <w:tcW w:w="991"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RSUs and related transactions since December 31, 2023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6736" w:type="dxa"/>
        <w:jc w:val="left"/>
        <w:tblInd w:w="0" w:type="dxa"/>
        <w:tblLayout w:type="fixed"/>
        <w:tblCellMar>
          <w:top w:w="0" w:type="dxa"/>
          <w:left w:w="0" w:type="dxa"/>
          <w:bottom w:w="0" w:type="dxa"/>
          <w:right w:w="0" w:type="dxa"/>
        </w:tblCellMar>
      </w:tblPr>
      <w:tblGrid>
        <w:gridCol w:w="3335"/>
        <w:gridCol w:w="90"/>
        <w:gridCol w:w="122"/>
        <w:gridCol w:w="498"/>
        <w:gridCol w:w="132"/>
        <w:gridCol w:w="95"/>
        <w:gridCol w:w="245"/>
        <w:gridCol w:w="854"/>
        <w:gridCol w:w="95"/>
        <w:gridCol w:w="95"/>
        <w:gridCol w:w="232"/>
        <w:gridCol w:w="808"/>
        <w:gridCol w:w="135"/>
      </w:tblGrid>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6" w:type="dxa"/>
            <w:gridSpan w:val="10"/>
            <w:tcBorders>
              <w:bottom w:val="single" w:sz="12" w:space="0" w:color="000000"/>
            </w:tcBorders>
            <w:tcMar>
              <w:bottom w:w="28" w:type="dxa"/>
            </w:tcMar>
            <w:vAlign w:val="center"/>
          </w:tcPr>
          <w:p>
            <w:pPr>
              <w:pStyle w:val="TableContents"/>
              <w:bidi w:val="0"/>
              <w:spacing w:before="0" w:after="283"/>
              <w:jc w:val="center"/>
              <w:rPr/>
            </w:pPr>
            <w:r>
              <w:rPr/>
              <w:t>RSUs awards outstanding</w:t>
            </w:r>
          </w:p>
        </w:tc>
        <w:tc>
          <w:tcPr>
            <w:tcW w:w="13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pPr>
            <w:r>
              <w:rPr/>
              <w:t>RSUs</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pPr>
            <w:r>
              <w:rPr/>
              <w:t>Weighted</w:t>
              <w:br/>
              <w:t>Average</w:t>
              <w:br/>
              <w:t>Grant Date</w:t>
              <w:br/>
              <w:t>Fair Value</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40</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854" w:type="dxa"/>
            <w:tcBorders/>
            <w:shd w:fill="CCEEFF" w:val="clear"/>
            <w:vAlign w:val="center"/>
          </w:tcPr>
          <w:p>
            <w:pPr>
              <w:pStyle w:val="TableContents"/>
              <w:bidi w:val="0"/>
              <w:spacing w:before="0" w:after="283"/>
              <w:jc w:val="right"/>
              <w:rPr/>
            </w:pPr>
            <w:r>
              <w:rPr/>
              <w:t>9.67</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808" w:type="dxa"/>
            <w:tcBorders/>
            <w:shd w:fill="CCEEFF" w:val="clear"/>
            <w:vAlign w:val="center"/>
          </w:tcPr>
          <w:p>
            <w:pPr>
              <w:pStyle w:val="TableContents"/>
              <w:bidi w:val="0"/>
              <w:spacing w:before="0" w:after="283"/>
              <w:jc w:val="right"/>
              <w:rPr/>
            </w:pPr>
            <w:r>
              <w:rPr/>
              <w:t>89.60</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(38</w:t>
            </w:r>
          </w:p>
        </w:tc>
        <w:tc>
          <w:tcPr>
            <w:tcW w:w="132"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9.11</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2</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854" w:type="dxa"/>
            <w:tcBorders/>
            <w:shd w:fill="CCEEFF" w:val="clear"/>
            <w:vAlign w:val="center"/>
          </w:tcPr>
          <w:p>
            <w:pPr>
              <w:pStyle w:val="TableContents"/>
              <w:bidi w:val="0"/>
              <w:spacing w:before="0" w:after="283"/>
              <w:jc w:val="right"/>
              <w:rPr/>
            </w:pPr>
            <w:r>
              <w:rPr/>
              <w:t>21.78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808" w:type="dxa"/>
            <w:tcBorders/>
            <w:shd w:fill="CCEEFF" w:val="clear"/>
            <w:vAlign w:val="center"/>
          </w:tcPr>
          <w:p>
            <w:pPr>
              <w:pStyle w:val="TableContents"/>
              <w:bidi w:val="0"/>
              <w:spacing w:before="0" w:after="283"/>
              <w:jc w:val="right"/>
              <w:rPr/>
            </w:pPr>
            <w:r>
              <w:rPr/>
              <w:t>1.49</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right"/>
              <w:rPr/>
            </w:pPr>
            <w:r>
              <w:rPr/>
              <w:t>26</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854" w:type="dxa"/>
            <w:tcBorders/>
            <w:vAlign w:val="center"/>
          </w:tcPr>
          <w:p>
            <w:pPr>
              <w:pStyle w:val="TableContents"/>
              <w:bidi w:val="0"/>
              <w:spacing w:before="0" w:after="283"/>
              <w:jc w:val="right"/>
              <w:rPr/>
            </w:pPr>
            <w:r>
              <w:rPr/>
              <w:t>1.15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80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2"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4" w:type="dxa"/>
            <w:tcBorders>
              <w:bottom w:val="single" w:sz="12" w:space="0" w:color="000000"/>
            </w:tcBorders>
            <w:shd w:fill="CCEEFF" w:val="clear"/>
            <w:tcMar>
              <w:bottom w:w="28" w:type="dxa"/>
            </w:tcMar>
            <w:vAlign w:val="center"/>
          </w:tcPr>
          <w:p>
            <w:pPr>
              <w:pStyle w:val="TableContents"/>
              <w:bidi w:val="0"/>
              <w:spacing w:before="0" w:after="283"/>
              <w:jc w:val="right"/>
              <w:rPr/>
            </w:pPr>
            <w:r>
              <w:rPr/>
              <w:t>21.78</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Balance, as of December 31, 2025</w:t>
            </w:r>
          </w:p>
        </w:tc>
        <w:tc>
          <w:tcPr>
            <w:tcW w:w="90" w:type="dxa"/>
            <w:tcBorders/>
            <w:vAlign w:val="center"/>
          </w:tcPr>
          <w:p>
            <w:pPr>
              <w:pStyle w:val="TableContents"/>
              <w:bidi w:val="0"/>
              <w:spacing w:before="0" w:after="283"/>
              <w:jc w:val="left"/>
              <w:rPr/>
            </w:pPr>
            <w:r>
              <w:rPr/>
              <w:t> </w:t>
            </w:r>
          </w:p>
        </w:tc>
        <w:tc>
          <w:tcPr>
            <w:tcW w:w="122" w:type="dxa"/>
            <w:tcBorders>
              <w:bottom w:val="double" w:sz="10" w:space="0" w:color="000000"/>
            </w:tcBorders>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tcMar>
              <w:bottom w:w="28" w:type="dxa"/>
            </w:tcMar>
            <w:vAlign w:val="center"/>
          </w:tcPr>
          <w:p>
            <w:pPr>
              <w:pStyle w:val="TableContents"/>
              <w:bidi w:val="0"/>
              <w:spacing w:before="0" w:after="283"/>
              <w:jc w:val="right"/>
              <w:rPr/>
            </w:pPr>
            <w:r>
              <w:rPr/>
              <w:t>26</w:t>
            </w:r>
          </w:p>
        </w:tc>
        <w:tc>
          <w:tcPr>
            <w:tcW w:w="13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45" w:type="dxa"/>
            <w:tcBorders>
              <w:bottom w:val="double" w:sz="10" w:space="0" w:color="000000"/>
            </w:tcBorders>
            <w:tcMar>
              <w:bottom w:w="28" w:type="dxa"/>
            </w:tcMar>
            <w:vAlign w:val="center"/>
          </w:tcPr>
          <w:p>
            <w:pPr>
              <w:pStyle w:val="TableContents"/>
              <w:bidi w:val="0"/>
              <w:spacing w:before="0" w:after="283"/>
              <w:jc w:val="left"/>
              <w:rPr/>
            </w:pPr>
            <w:r>
              <w:rPr/>
              <w:t>$</w:t>
            </w:r>
          </w:p>
        </w:tc>
        <w:tc>
          <w:tcPr>
            <w:tcW w:w="854" w:type="dxa"/>
            <w:tcBorders>
              <w:bottom w:val="double" w:sz="10" w:space="0" w:color="000000"/>
            </w:tcBorders>
            <w:tcMar>
              <w:bottom w:w="28" w:type="dxa"/>
            </w:tcMar>
            <w:vAlign w:val="center"/>
          </w:tcPr>
          <w:p>
            <w:pPr>
              <w:pStyle w:val="TableContents"/>
              <w:bidi w:val="0"/>
              <w:spacing w:before="0" w:after="283"/>
              <w:jc w:val="right"/>
              <w:rPr/>
            </w:pPr>
            <w:r>
              <w:rPr/>
              <w:t>1.15</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808" w:type="dxa"/>
            <w:tcBorders>
              <w:bottom w:val="double" w:sz="10" w:space="0" w:color="000000"/>
            </w:tcBorders>
            <w:tcMar>
              <w:bottom w:w="28" w:type="dxa"/>
            </w:tcMar>
            <w:vAlign w:val="center"/>
          </w:tcPr>
          <w:p>
            <w:pPr>
              <w:pStyle w:val="TableContents"/>
              <w:bidi w:val="0"/>
              <w:spacing w:before="0" w:after="283"/>
              <w:jc w:val="right"/>
              <w:rPr/>
            </w:pPr>
            <w:r>
              <w:rPr/>
              <w:t>41.57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status of our PSUs and related transactions since December 31, 2023 (in thousands, except weighted average grant date fair value):</w:t>
      </w:r>
    </w:p>
    <w:p>
      <w:pPr>
        <w:pStyle w:val="TextBody"/>
        <w:bidi w:val="0"/>
        <w:spacing w:before="0" w:after="0"/>
        <w:ind w:left="0" w:right="0" w:hanging="0"/>
        <w:jc w:val="left"/>
        <w:rPr>
          <w:caps w:val="false"/>
          <w:smallCaps w:val="false"/>
        </w:rPr>
      </w:pPr>
      <w:r>
        <w:rPr>
          <w:caps w:val="false"/>
          <w:smallCaps w:val="false"/>
        </w:rPr>
        <w:t> </w:t>
      </w:r>
    </w:p>
    <w:tbl>
      <w:tblPr>
        <w:tblW w:w="5799" w:type="dxa"/>
        <w:jc w:val="left"/>
        <w:tblInd w:w="0" w:type="dxa"/>
        <w:tblLayout w:type="fixed"/>
        <w:tblCellMar>
          <w:top w:w="0" w:type="dxa"/>
          <w:left w:w="0" w:type="dxa"/>
          <w:bottom w:w="0" w:type="dxa"/>
          <w:right w:w="0" w:type="dxa"/>
        </w:tblCellMar>
      </w:tblPr>
      <w:tblGrid>
        <w:gridCol w:w="2915"/>
        <w:gridCol w:w="90"/>
        <w:gridCol w:w="111"/>
        <w:gridCol w:w="359"/>
        <w:gridCol w:w="110"/>
        <w:gridCol w:w="90"/>
        <w:gridCol w:w="212"/>
        <w:gridCol w:w="707"/>
        <w:gridCol w:w="90"/>
        <w:gridCol w:w="90"/>
        <w:gridCol w:w="262"/>
        <w:gridCol w:w="628"/>
        <w:gridCol w:w="135"/>
      </w:tblGrid>
      <w:tr>
        <w:trPr/>
        <w:tc>
          <w:tcPr>
            <w:tcW w:w="29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PSUs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Weighted</w:t>
              <w:br/>
              <w:t>Average</w:t>
              <w:br/>
              <w:t>Grant Date</w:t>
              <w:b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December 31, 2023</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27.30</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3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16.16</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December 31, 2024</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35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7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 w:type="dxa"/>
            <w:tcBorders>
              <w:bottom w:val="single" w:sz="12" w:space="0" w:color="000000"/>
            </w:tcBorders>
            <w:tcMar>
              <w:bottom w:w="28" w:type="dxa"/>
            </w:tcMar>
            <w:vAlign w:val="center"/>
          </w:tcPr>
          <w:p>
            <w:pPr>
              <w:pStyle w:val="TableContents"/>
              <w:bidi w:val="0"/>
              <w:spacing w:before="0" w:after="283"/>
              <w:jc w:val="left"/>
              <w:rPr/>
            </w:pPr>
            <w:r>
              <w:rPr/>
              <w:t> </w:t>
            </w:r>
          </w:p>
        </w:tc>
        <w:tc>
          <w:tcPr>
            <w:tcW w:w="628"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Unvested, as of December 31, 2025</w:t>
            </w:r>
          </w:p>
        </w:tc>
        <w:tc>
          <w:tcPr>
            <w:tcW w:w="90" w:type="dxa"/>
            <w:tcBorders/>
            <w:shd w:fill="CCEEFF" w:val="clear"/>
            <w:vAlign w:val="center"/>
          </w:tcPr>
          <w:p>
            <w:pPr>
              <w:pStyle w:val="TableContents"/>
              <w:bidi w:val="0"/>
              <w:spacing w:before="0" w:after="283"/>
              <w:jc w:val="left"/>
              <w:rPr/>
            </w:pPr>
            <w:r>
              <w:rPr/>
              <w:t> </w:t>
            </w:r>
          </w:p>
        </w:tc>
        <w:tc>
          <w:tcPr>
            <w:tcW w:w="111"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359"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2"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r>
              <w:rPr>
                <w:rFonts w:ascii="Times New Roman;Times;Serif" w:hAnsi="Times New Roman;Times;Serif"/>
                <w:sz w:val="20"/>
              </w:rPr>
              <w:t>$</w:t>
            </w:r>
          </w:p>
        </w:tc>
        <w:tc>
          <w:tcPr>
            <w:tcW w:w="628" w:type="dxa"/>
            <w:tcBorders>
              <w:bottom w:val="doub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payment compensation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 compensation expense for PSUs is based on 100% vesting which was a part of the termination benefits for all employees who were terminated in 2022. We recorded share-based payment award compensation costs related to previously issued options, RSU and PSUs, as well as shares of common stock issued under our employee stock purchase plan (“ESPP”) totaling $75 thousand for 2025 and $264 thousand for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$28 thousand of unrecognized share-based payment award compensation cost related to unvested options, RSUs and PSUs as well as shares issuable under our ESPP, which may be adjusted for future changes in forfeitures and is included as additional paid-in capital in the accompanying consolidated balance sheets. No tax benefit was realized due to a continued pattern of net losses.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unrecognized compensation cost as of December 31, 2025 of $28 thousand is expected to be recognized as share-based payment award compensation over a weighted average period of 2.8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the Company granted Mayne Pharma, on the Closing Date, (i) an exclusive, sublicensable, perpetual, irrevocable license to research, develop, register, manufacture, have manufactured, market, sell, use, and commercialize the Licensed Products in the United States and its possessions and territories and (ii) an exclusive, sublicensable, perpetual, irrevocable license to manufacture, have manufactured, import and have imported the Licensed Products outside the United States for commercialization in the United States and its possessions and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Mayne License Agreement, Mayne Pharma agreed to make one-time, milestone payments to the Company of each of (i) $5.0 million if aggregate net sales of all Products in the United States during a calendar year reach $100.0 million, (ii) $10.0 million if aggregate net sales of all Products in the United States during a calendar year reach $200.0 million and (iii) $15.0 million if aggregate net sales of all Products in the United States during a calendar year reach $300.0 million. Further, Mayne Pharma agreed to pay to the Company royalties on net sales of all Products in the United States at a royalty rate of 8.0% on the first $80 million in annual net sales and 7.5% on annual net sales above $80.0 million, subject to certain adjustments, for a period of 20 years following the Closing Date. The royalty rate will decrease to 2.0% on a Product-by-Product basis upon the earlier to occur of (i) the expiration or revocation of the last patent covering a Product and (ii) a generic version of a Product launching in the United States. Mayne Pharma agreed to pay to the Company minimum annual royalties of $3.0 million per year for 12 years, adjusted for inflation at an annual rate of 3%, subject to certain further adjustments, including as described below. Upon the expiry of the 20-year royalty term, the licenses granted to Mayne Pharma under the Mayne License Agreement will become a fully paid-up and royalty free license for the Licensed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recorded BIJUVA license sales of $632 thousand made through the Theramex License Agreement, BIJUVA and IMVEXXY license sales of $598 thousand through the Knight License Agreement and $1,791 thousand pertaining to our licensed products with Mayne Pharma, which was recognized as license revenue. Additionally, we recognized $1,291 thousand in miscellaneous income pertaining to royalty sales of ANNOVERA.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recorded BIJUVA license sales of $443 thousand made through the Theramex License Agreement, BIJUVA and IMVEXXY license sales of $195 thousand through the Knight License Agreement and $1,123 thousand pertaining to our licensed products with Mayne Pharma, which was recognized as license revenue. Additionally, we recognized $1,083 thousand in miscellaneous income pertaining to royalty sales of ANNOVERA.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Income taxes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from continuing operations before income tax for the years ended December 31, 2025 and 2024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613" w:type="dxa"/>
        <w:jc w:val="left"/>
        <w:tblInd w:w="0" w:type="dxa"/>
        <w:tblLayout w:type="fixed"/>
        <w:tblCellMar>
          <w:top w:w="0" w:type="dxa"/>
          <w:left w:w="0" w:type="dxa"/>
          <w:bottom w:w="0" w:type="dxa"/>
          <w:right w:w="0" w:type="dxa"/>
        </w:tblCellMar>
      </w:tblPr>
      <w:tblGrid>
        <w:gridCol w:w="1145"/>
        <w:gridCol w:w="90"/>
        <w:gridCol w:w="228"/>
        <w:gridCol w:w="626"/>
        <w:gridCol w:w="162"/>
        <w:gridCol w:w="132"/>
        <w:gridCol w:w="228"/>
        <w:gridCol w:w="847"/>
        <w:gridCol w:w="155"/>
      </w:tblGrid>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 Ending December 31,</w:t>
            </w:r>
          </w:p>
        </w:tc>
        <w:tc>
          <w:tcPr>
            <w:tcW w:w="155" w:type="dxa"/>
            <w:tcBorders/>
            <w:vAlign w:val="center"/>
          </w:tcPr>
          <w:p>
            <w:pPr>
              <w:pStyle w:val="TableContents"/>
              <w:bidi w:val="0"/>
              <w:spacing w:before="0" w:after="283"/>
              <w:jc w:val="left"/>
              <w:rPr/>
            </w:pPr>
            <w:r>
              <w:rPr/>
              <w:t> </w:t>
            </w:r>
          </w:p>
        </w:tc>
      </w:tr>
      <w:tr>
        <w:trPr/>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6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55" w:type="dxa"/>
            <w:tcBorders/>
            <w:vAlign w:val="center"/>
          </w:tcPr>
          <w:p>
            <w:pPr>
              <w:pStyle w:val="TableContents"/>
              <w:bidi w:val="0"/>
              <w:spacing w:before="0" w:after="283"/>
              <w:jc w:val="left"/>
              <w:rPr/>
            </w:pPr>
            <w:r>
              <w:rPr/>
              <w:t> </w:t>
            </w:r>
          </w:p>
        </w:tc>
      </w:tr>
      <w:tr>
        <w:trPr/>
        <w:tc>
          <w:tcPr>
            <w:tcW w:w="11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vAlign w:val="center"/>
          </w:tcPr>
          <w:p>
            <w:pPr>
              <w:pStyle w:val="TableContents"/>
              <w:bidi w:val="0"/>
              <w:spacing w:before="0" w:after="283"/>
              <w:jc w:val="left"/>
              <w:rPr/>
            </w:pPr>
            <w:r>
              <w:rPr/>
              <w:t> </w:t>
            </w:r>
          </w:p>
        </w:tc>
        <w:tc>
          <w:tcPr>
            <w:tcW w:w="22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jc w:val="left"/>
              <w:rPr/>
            </w:pPr>
            <w:r>
              <w:rPr/>
              <w:t> </w:t>
            </w:r>
          </w:p>
        </w:tc>
        <w:tc>
          <w:tcPr>
            <w:tcW w:w="228"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(loss) income allocated between continuing operations and discontinued operations before income taxes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7768" w:type="dxa"/>
        <w:jc w:val="left"/>
        <w:tblInd w:w="0" w:type="dxa"/>
        <w:tblLayout w:type="fixed"/>
        <w:tblCellMar>
          <w:top w:w="0" w:type="dxa"/>
          <w:left w:w="0" w:type="dxa"/>
          <w:bottom w:w="0" w:type="dxa"/>
          <w:right w:w="0" w:type="dxa"/>
        </w:tblCellMar>
      </w:tblPr>
      <w:tblGrid>
        <w:gridCol w:w="5300"/>
        <w:gridCol w:w="90"/>
        <w:gridCol w:w="228"/>
        <w:gridCol w:w="626"/>
        <w:gridCol w:w="162"/>
        <w:gridCol w:w="132"/>
        <w:gridCol w:w="228"/>
        <w:gridCol w:w="847"/>
        <w:gridCol w:w="155"/>
      </w:tblGrid>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 Ending December 31,</w:t>
            </w:r>
          </w:p>
        </w:tc>
        <w:tc>
          <w:tcPr>
            <w:tcW w:w="15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6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55"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continuing operations before income taxes</w:t>
            </w:r>
          </w:p>
        </w:tc>
        <w:tc>
          <w:tcPr>
            <w:tcW w:w="9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(2,343</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income from discontinued operations before income taxes</w:t>
            </w:r>
          </w:p>
        </w:tc>
        <w:tc>
          <w:tcPr>
            <w:tcW w:w="9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c>
          <w:tcPr>
            <w:tcW w:w="162"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there was no provision for income taxes in continuing and discontinued operations, current or deferred. For the year ended December 31, 2024, the Company recorded an income tax benefit of $31 thousand, as reflected in the rate reconciliation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 federal net operating loss (“NOL”) carryforwards of $584.6 million, which is available to offset future taxable income. Approximately $27.6 million of the federal NOLs can be carried forward for 20 years and will begin to expire in 2035. The remaining $557.1 million can be carried forward indefinitely. In the event of future income, the NOL deduction arising from NOLs generated in taxable years beginning in 2021 will be limited to 80% of the excess taxable income. The Company experienced an ownership change pursuant to IRC Sec. 382 in 2022. As a result, our NOLs carryforward as of December 31, 2022 is limited.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income tax provision with the amount of tax computed by applying the federal statutory rate to pretax income for years ended December 31, 2025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6485"/>
        <w:gridCol w:w="90"/>
        <w:gridCol w:w="215"/>
        <w:gridCol w:w="615"/>
        <w:gridCol w:w="125"/>
        <w:gridCol w:w="90"/>
        <w:gridCol w:w="90"/>
        <w:gridCol w:w="665"/>
        <w:gridCol w:w="365"/>
      </w:tblGrid>
      <w:tr>
        <w:trPr/>
        <w:tc>
          <w:tcPr>
            <w:tcW w:w="6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0" w:type="dxa"/>
            <w:gridSpan w:val="6"/>
            <w:tcBorders>
              <w:bottom w:val="single" w:sz="12" w:space="0" w:color="000000"/>
            </w:tcBorders>
            <w:tcMar>
              <w:bottom w:w="28" w:type="dxa"/>
            </w:tcMar>
            <w:vAlign w:val="center"/>
          </w:tcPr>
          <w:p>
            <w:pPr>
              <w:pStyle w:val="TableContents"/>
              <w:bidi w:val="0"/>
              <w:spacing w:before="0" w:after="283"/>
              <w:jc w:val="center"/>
              <w:rPr/>
            </w:pPr>
            <w:r>
              <w:rPr/>
              <w:t>2025</w:t>
            </w:r>
          </w:p>
        </w:tc>
        <w:tc>
          <w:tcPr>
            <w:tcW w:w="365"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Percent</w:t>
            </w:r>
          </w:p>
        </w:tc>
        <w:tc>
          <w:tcPr>
            <w:tcW w:w="36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U.S. Federal Statutory Rate</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615" w:type="dxa"/>
            <w:tcBorders/>
            <w:shd w:fill="CCEEFF" w:val="clear"/>
            <w:vAlign w:val="center"/>
          </w:tcPr>
          <w:p>
            <w:pPr>
              <w:pStyle w:val="TableContents"/>
              <w:bidi w:val="0"/>
              <w:spacing w:before="0" w:after="283"/>
              <w:jc w:val="right"/>
              <w:rPr/>
            </w:pPr>
            <w:r>
              <w:rPr/>
              <w:t>(137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 xml:space="preserve">State tax rate, net of federal tax benefit </w:t>
            </w:r>
            <w:r>
              <w:rPr>
                <w:position w:val="8"/>
                <w:sz w:val="19"/>
              </w:rPr>
              <w:t>(1)</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Foreign Tax Effects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Effects of Changes in Tax Laws or Rates Enacted in Current Period</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Effects of Cross-Border Tax Laws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Tax Credits: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R&amp;D Credit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(28.6</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Change in Valuation Allowance</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(996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152.7</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Nontaxable or Nondeductible Items: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Excess stock benefits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908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(139.2</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Receivable Write-Off</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(5.9</w:t>
            </w:r>
          </w:p>
        </w:tc>
        <w:tc>
          <w:tcPr>
            <w:tcW w:w="365" w:type="dxa"/>
            <w:tcBorders/>
            <w:shd w:fill="CCEEFF" w:val="clear"/>
            <w:vAlign w:val="center"/>
          </w:tcPr>
          <w:p>
            <w:pPr>
              <w:pStyle w:val="TableContents"/>
              <w:bidi w:val="0"/>
              <w:spacing w:before="0" w:after="283"/>
              <w:jc w:val="left"/>
              <w:rPr/>
            </w:pPr>
            <w:r>
              <w:rPr/>
              <w:t>)%</w:t>
            </w:r>
          </w:p>
        </w:tc>
      </w:tr>
      <w:tr>
        <w:trPr/>
        <w:tc>
          <w:tcPr>
            <w:tcW w:w="6485" w:type="dxa"/>
            <w:tcBorders/>
            <w:vAlign w:val="center"/>
          </w:tcPr>
          <w:p>
            <w:pPr>
              <w:pStyle w:val="TableContents"/>
              <w:bidi w:val="0"/>
              <w:spacing w:before="0" w:after="283"/>
              <w:jc w:val="left"/>
              <w:rPr/>
            </w:pPr>
            <w:r>
              <w:rPr/>
              <w:t>Changes in Unrecognized Tax Benefits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Other Adjustments:</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Deferred True-Ups</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1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6485" w:type="dxa"/>
            <w:tcBorders/>
            <w:shd w:fill="CCEEFF" w:val="clear"/>
            <w:vAlign w:val="center"/>
          </w:tcPr>
          <w:p>
            <w:pPr>
              <w:pStyle w:val="TableContents"/>
              <w:bidi w:val="0"/>
              <w:spacing w:before="0" w:after="283"/>
              <w:jc w:val="left"/>
              <w:rPr/>
            </w:pPr>
            <w:r>
              <w:rPr/>
              <w:t>Effective Tax Rate</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1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State taxes in South Carolina and Illinois make up the majority (greater than 50 percent) of the effect of this category for the period ended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the federal statutory rate to effective income tax rate for the years ended December 31, 2024, prior to the adoption of ASU 2023-09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0" w:type="dxa"/>
          <w:right w:w="0" w:type="dxa"/>
        </w:tblCellMar>
      </w:tblPr>
      <w:tblGrid>
        <w:gridCol w:w="3695"/>
        <w:gridCol w:w="90"/>
        <w:gridCol w:w="170"/>
        <w:gridCol w:w="665"/>
        <w:gridCol w:w="125"/>
        <w:gridCol w:w="90"/>
        <w:gridCol w:w="90"/>
        <w:gridCol w:w="665"/>
        <w:gridCol w:w="365"/>
      </w:tblGrid>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5" w:type="dxa"/>
            <w:gridSpan w:val="6"/>
            <w:tcBorders>
              <w:bottom w:val="single" w:sz="12" w:space="0" w:color="000000"/>
            </w:tcBorders>
            <w:tcMar>
              <w:bottom w:w="28" w:type="dxa"/>
            </w:tcMar>
            <w:vAlign w:val="center"/>
          </w:tcPr>
          <w:p>
            <w:pPr>
              <w:pStyle w:val="TableContents"/>
              <w:bidi w:val="0"/>
              <w:spacing w:before="0" w:after="283"/>
              <w:jc w:val="center"/>
              <w:rPr/>
            </w:pPr>
            <w:r>
              <w:rPr/>
              <w:t>2024</w:t>
            </w:r>
          </w:p>
        </w:tc>
        <w:tc>
          <w:tcPr>
            <w:tcW w:w="36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Percent</w:t>
            </w:r>
          </w:p>
        </w:tc>
        <w:tc>
          <w:tcPr>
            <w:tcW w:w="36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Federal statutory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(492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State tax rate, net of federal tax benefit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(8,745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373.3</w:t>
            </w:r>
          </w:p>
        </w:tc>
        <w:tc>
          <w:tcPr>
            <w:tcW w:w="365"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Adjustment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9,772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(417.1</w:t>
            </w:r>
          </w:p>
        </w:tc>
        <w:tc>
          <w:tcPr>
            <w:tcW w:w="36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Excess stock benefits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(24.2</w:t>
            </w:r>
          </w:p>
        </w:tc>
        <w:tc>
          <w:tcPr>
            <w:tcW w:w="365"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Interest expense accretion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3695" w:type="dxa"/>
            <w:tcBorders/>
            <w:vAlign w:val="center"/>
          </w:tcPr>
          <w:p>
            <w:pPr>
              <w:pStyle w:val="TableContents"/>
              <w:bidi w:val="0"/>
              <w:spacing w:before="0" w:after="283"/>
              <w:jc w:val="left"/>
              <w:rPr/>
            </w:pPr>
            <w:r>
              <w:rPr/>
              <w:t>Permanent and other differences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(1,132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48.3</w:t>
            </w:r>
          </w:p>
        </w:tc>
        <w:tc>
          <w:tcPr>
            <w:tcW w:w="365" w:type="dxa"/>
            <w:tcBorders/>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Benefit for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result from temporary differences between the amount of assets and liabilities recognized for financial reporting and tax purposes. The components of the net deferred income tax asset as of December 31, 2025, and 2024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3620"/>
        <w:gridCol w:w="90"/>
        <w:gridCol w:w="170"/>
        <w:gridCol w:w="905"/>
        <w:gridCol w:w="125"/>
        <w:gridCol w:w="90"/>
        <w:gridCol w:w="170"/>
        <w:gridCol w:w="905"/>
        <w:gridCol w:w="170"/>
      </w:tblGrid>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Deferred income tax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Net operating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154,284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167,366</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Share-based payment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2,222</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Interest expense limitation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20,901</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Gain on sale of ANNOVERA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(3,637</w:t>
            </w:r>
          </w:p>
        </w:tc>
        <w:tc>
          <w:tcPr>
            <w:tcW w:w="170" w:type="dxa"/>
            <w:tcBorders/>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Accrual for sales returns and coupons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670</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R&amp;D credit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186</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Other,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319</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Deferred income tax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172,339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188,027</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(172,339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(188,027</w:t>
            </w:r>
          </w:p>
        </w:tc>
        <w:tc>
          <w:tcPr>
            <w:tcW w:w="170" w:type="dxa"/>
            <w:tcBorders/>
            <w:shd w:fill="CCEEFF" w:val="clear"/>
            <w:vAlign w:val="center"/>
          </w:tcPr>
          <w:p>
            <w:pPr>
              <w:pStyle w:val="TableContents"/>
              <w:bidi w:val="0"/>
              <w:spacing w:before="0" w:after="283"/>
              <w:jc w:val="left"/>
              <w:rPr/>
            </w:pPr>
            <w:r>
              <w:rPr/>
              <w:t>)</w:t>
            </w:r>
          </w:p>
        </w:tc>
      </w:tr>
      <w:tr>
        <w:trPr/>
        <w:tc>
          <w:tcPr>
            <w:tcW w:w="3620" w:type="dxa"/>
            <w:tcBorders/>
            <w:vAlign w:val="center"/>
          </w:tcPr>
          <w:p>
            <w:pPr>
              <w:pStyle w:val="TableContents"/>
              <w:bidi w:val="0"/>
              <w:spacing w:before="0" w:after="283"/>
              <w:jc w:val="left"/>
              <w:rPr/>
            </w:pPr>
            <w:r>
              <w:rPr/>
              <w:t>Deferred income tax assets, net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(net of refunds) are as follows:</w:t>
      </w:r>
    </w:p>
    <w:p>
      <w:pPr>
        <w:pStyle w:val="TextBody"/>
        <w:bidi w:val="0"/>
        <w:spacing w:before="0" w:after="0"/>
        <w:ind w:left="0" w:right="0" w:hanging="0"/>
        <w:jc w:val="left"/>
        <w:rPr>
          <w:caps w:val="false"/>
          <w:smallCaps w:val="false"/>
        </w:rPr>
      </w:pPr>
      <w:r>
        <w:rPr>
          <w:caps w:val="false"/>
          <w:smallCaps w:val="false"/>
        </w:rPr>
        <w:t> </w:t>
      </w:r>
    </w:p>
    <w:tbl>
      <w:tblPr>
        <w:tblW w:w="3373" w:type="dxa"/>
        <w:jc w:val="left"/>
        <w:tblInd w:w="0" w:type="dxa"/>
        <w:tblLayout w:type="fixed"/>
        <w:tblCellMar>
          <w:top w:w="0" w:type="dxa"/>
          <w:left w:w="0" w:type="dxa"/>
          <w:bottom w:w="0" w:type="dxa"/>
          <w:right w:w="0" w:type="dxa"/>
        </w:tblCellMar>
      </w:tblPr>
      <w:tblGrid>
        <w:gridCol w:w="1670"/>
        <w:gridCol w:w="90"/>
        <w:gridCol w:w="191"/>
        <w:gridCol w:w="410"/>
        <w:gridCol w:w="140"/>
        <w:gridCol w:w="101"/>
        <w:gridCol w:w="191"/>
        <w:gridCol w:w="410"/>
        <w:gridCol w:w="170"/>
      </w:tblGrid>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3"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7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1"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01"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7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Jurisdiction:</w:t>
            </w:r>
          </w:p>
        </w:tc>
        <w:tc>
          <w:tcPr>
            <w:tcW w:w="90"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01"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South Carolina</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(18</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Illinois</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(13</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pPr>
            <w:r>
              <w:rPr/>
              <w:t>New Jersey</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(4</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Texas</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Pennsylvania</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0"/>
              <w:jc w:val="right"/>
              <w:rPr/>
            </w:pPr>
            <w:r>
              <w:rPr/>
              <w:t>—</w:t>
            </w:r>
          </w:p>
        </w:tc>
        <w:tc>
          <w:tcPr>
            <w:tcW w:w="14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pPr>
            <w:r>
              <w:rPr/>
              <w:t>Tennessee</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4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w:t>
            </w:r>
          </w:p>
        </w:tc>
      </w:tr>
      <w:tr>
        <w:trPr/>
        <w:tc>
          <w:tcPr>
            <w:tcW w:w="1670" w:type="dxa"/>
            <w:tcBorders/>
            <w:shd w:fill="CCEEFF" w:val="clear"/>
            <w:vAlign w:val="center"/>
          </w:tcPr>
          <w:p>
            <w:pPr>
              <w:pStyle w:val="TableContents"/>
              <w:bidi w:val="0"/>
              <w:spacing w:before="0" w:after="283"/>
              <w:jc w:val="left"/>
              <w:rPr/>
            </w:pPr>
            <w:r>
              <w:rPr/>
              <w:t>All Other States</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4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w:t>
            </w:r>
          </w:p>
        </w:tc>
      </w:tr>
      <w:tr>
        <w:trPr/>
        <w:tc>
          <w:tcPr>
            <w:tcW w:w="1670" w:type="dxa"/>
            <w:tcBorders/>
            <w:vAlign w:val="center"/>
          </w:tcPr>
          <w:p>
            <w:pPr>
              <w:pStyle w:val="TableContents"/>
              <w:bidi w:val="0"/>
              <w:spacing w:before="0" w:after="283"/>
              <w:jc w:val="left"/>
              <w:rPr/>
            </w:pPr>
            <w:r>
              <w:rPr/>
              <w:t>Total Taxes Paid</w:t>
            </w:r>
          </w:p>
        </w:tc>
        <w:tc>
          <w:tcPr>
            <w:tcW w:w="9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pPr>
            <w:r>
              <w:rPr/>
              <w:t>$</w:t>
            </w:r>
          </w:p>
        </w:tc>
        <w:tc>
          <w:tcPr>
            <w:tcW w:w="410" w:type="dxa"/>
            <w:tcBorders>
              <w:bottom w:val="double" w:sz="10" w:space="0" w:color="000000"/>
            </w:tcBorders>
            <w:tcMar>
              <w:bottom w:w="28" w:type="dxa"/>
            </w:tcMar>
            <w:vAlign w:val="center"/>
          </w:tcPr>
          <w:p>
            <w:pPr>
              <w:pStyle w:val="TableContents"/>
              <w:bidi w:val="0"/>
              <w:spacing w:before="0" w:after="283"/>
              <w:jc w:val="right"/>
              <w:rPr/>
            </w:pPr>
            <w:r>
              <w:rPr/>
              <w:t>(36</w:t>
            </w:r>
          </w:p>
        </w:tc>
        <w:tc>
          <w:tcPr>
            <w:tcW w:w="140"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pPr>
            <w:r>
              <w:rPr/>
              <w:t>$</w:t>
            </w:r>
          </w:p>
        </w:tc>
        <w:tc>
          <w:tcPr>
            <w:tcW w:w="410" w:type="dxa"/>
            <w:tcBorders>
              <w:bottom w:val="double" w:sz="10" w:space="0" w:color="000000"/>
            </w:tcBorders>
            <w:tcMar>
              <w:bottom w:w="28" w:type="dxa"/>
            </w:tcMar>
            <w:vAlign w:val="center"/>
          </w:tcPr>
          <w:p>
            <w:pPr>
              <w:pStyle w:val="TableContents"/>
              <w:bidi w:val="0"/>
              <w:spacing w:before="0" w:after="283"/>
              <w:jc w:val="right"/>
              <w:rPr/>
            </w:pPr>
            <w:r>
              <w:rPr/>
              <w:t>(80</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taxes in South Carolina and Illinois make up the majority (greater than 50 percent) of the effect of this category for the period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it is more likely than not that we will not generate sufficient future taxable income to realize a portion of tax benefits related to the deferred tax assets and as such, a valuation allowance has been established against a portion of the deferred tax assets as of both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first year of operations in 2011, we generated net operating losses, and our U.S. federal and state tax returns remain open to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no tax positions relating to open tax returns that were considered to be uncertain, and we had no unrecognized tax benefits. On July 4, 2025, the One Big Beautiful Bill Act (“OBBBA”) was signed into law in the U.S., which contains a broad range of tax reform provisions affecting businesses. The Company evaluated the enacted effects of the legislation on its effective tax rate and cash tax position, finding that the legislation did not have a material impact on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income per common share for the periods presented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4580"/>
        <w:gridCol w:w="90"/>
        <w:gridCol w:w="201"/>
        <w:gridCol w:w="807"/>
        <w:gridCol w:w="162"/>
        <w:gridCol w:w="117"/>
        <w:gridCol w:w="201"/>
        <w:gridCol w:w="807"/>
        <w:gridCol w:w="155"/>
      </w:tblGrid>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Years Ending December 31,</w:t>
            </w:r>
          </w:p>
        </w:tc>
        <w:tc>
          <w:tcPr>
            <w:tcW w:w="15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5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Numerator:</w:t>
            </w:r>
          </w:p>
        </w:tc>
        <w:tc>
          <w:tcPr>
            <w:tcW w:w="90"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08" w:type="dxa"/>
            <w:gridSpan w:val="2"/>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from continuing operations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from discontinued operations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c>
          <w:tcPr>
            <w:tcW w:w="1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162" w:type="dxa"/>
            <w:tcBorders/>
            <w:shd w:fill="CCEEFF" w:val="clear"/>
            <w:vAlign w:val="center"/>
          </w:tcPr>
          <w:p>
            <w:pPr>
              <w:pStyle w:val="TableContents"/>
              <w:bidi w:val="0"/>
              <w:spacing w:before="0" w:after="283"/>
              <w:jc w:val="left"/>
              <w:rPr/>
            </w:pPr>
            <w:r>
              <w:rPr/>
              <w:t>)</w:t>
            </w:r>
          </w:p>
        </w:tc>
        <w:tc>
          <w:tcPr>
            <w:tcW w:w="117"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(2,181</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Denominator:</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11,569</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dilutive securities</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90"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11,569</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11,532</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per common share, continuing operations</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(0.06</w:t>
            </w:r>
          </w:p>
        </w:tc>
        <w:tc>
          <w:tcPr>
            <w:tcW w:w="1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80" w:type="dxa"/>
            <w:tcBorders/>
            <w:vAlign w:val="center"/>
          </w:tcPr>
          <w:p>
            <w:pPr>
              <w:pStyle w:val="TableContents"/>
              <w:bidi w:val="0"/>
              <w:spacing w:before="0" w:after="283"/>
              <w:jc w:val="left"/>
              <w:rPr>
                <w:b/>
              </w:rPr>
            </w:pPr>
            <w:r>
              <w:rPr>
                <w:b/>
              </w:rPr>
              <w:t xml:space="preserve">Income </w:t>
            </w:r>
            <w:r>
              <w:rPr>
                <w:rFonts w:ascii="Times New Roman;Times;Serif" w:hAnsi="Times New Roman;Times;Serif"/>
                <w:b/>
                <w:sz w:val="20"/>
              </w:rPr>
              <w:t>per common share, discontinued operations</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62"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5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62"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reported a net loss from continuing operations for the years ending December 21, 2025 and 2024, our potentially dilutive securities are deemed to be anti-dilutive, accordingly, there was no effect of dilutive securities. Therefore, our basic and diluted loss per common share and our basic and diluted weighted average common shares are the same for the years ending December 21,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securities as of the periods presented which were not included in the calculation of diluted earnings per common share during 2025 and 2024 (in thousands):</w:t>
      </w:r>
    </w:p>
    <w:p>
      <w:pPr>
        <w:pStyle w:val="TextBody"/>
        <w:bidi w:val="0"/>
        <w:spacing w:before="0" w:after="0"/>
        <w:ind w:left="0" w:right="0" w:hanging="0"/>
        <w:jc w:val="center"/>
        <w:rPr>
          <w:caps w:val="false"/>
          <w:smallCaps w:val="false"/>
        </w:rPr>
      </w:pPr>
      <w:r>
        <w:rPr>
          <w:caps w:val="false"/>
          <w:smallCaps w:val="false"/>
        </w:rPr>
        <w:t> </w:t>
      </w:r>
    </w:p>
    <w:tbl>
      <w:tblPr>
        <w:tblW w:w="2962" w:type="dxa"/>
        <w:jc w:val="left"/>
        <w:tblInd w:w="0" w:type="dxa"/>
        <w:tblLayout w:type="fixed"/>
        <w:tblCellMar>
          <w:top w:w="0" w:type="dxa"/>
          <w:left w:w="0" w:type="dxa"/>
          <w:bottom w:w="0" w:type="dxa"/>
          <w:right w:w="0" w:type="dxa"/>
        </w:tblCellMar>
      </w:tblPr>
      <w:tblGrid>
        <w:gridCol w:w="1355"/>
        <w:gridCol w:w="90"/>
        <w:gridCol w:w="105"/>
        <w:gridCol w:w="481"/>
        <w:gridCol w:w="105"/>
        <w:gridCol w:w="105"/>
        <w:gridCol w:w="105"/>
        <w:gridCol w:w="481"/>
        <w:gridCol w:w="135"/>
      </w:tblGrid>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2" w:type="dxa"/>
            <w:gridSpan w:val="6"/>
            <w:tcBorders>
              <w:bottom w:val="single" w:sz="12" w:space="0" w:color="000000"/>
            </w:tcBorders>
            <w:tcMar>
              <w:bottom w:w="28" w:type="dxa"/>
            </w:tcMar>
            <w:vAlign w:val="center"/>
          </w:tcPr>
          <w:p>
            <w:pPr>
              <w:pStyle w:val="TableContents"/>
              <w:bidi w:val="0"/>
              <w:spacing w:before="0" w:after="283"/>
              <w:jc w:val="center"/>
              <w:rPr/>
            </w:pPr>
            <w:r>
              <w:rPr/>
              <w:t>December 31,</w:t>
            </w:r>
          </w:p>
        </w:tc>
        <w:tc>
          <w:tcPr>
            <w:tcW w:w="13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6"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586"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105</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57</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RSUs</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PSUs</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0"/>
              <w:jc w:val="right"/>
              <w:rPr/>
            </w:pPr>
            <w:r>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5</w:t>
            </w:r>
          </w:p>
        </w:tc>
        <w:tc>
          <w:tcPr>
            <w:tcW w:w="135" w:type="dxa"/>
            <w:tcBorders/>
            <w:shd w:fill="CCEEFF" w:val="cle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Warrants</w:t>
            </w:r>
          </w:p>
        </w:tc>
        <w:tc>
          <w:tcPr>
            <w:tcW w:w="90"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tcMar>
              <w:bottom w:w="28" w:type="dxa"/>
            </w:tcMar>
            <w:vAlign w:val="center"/>
          </w:tcPr>
          <w:p>
            <w:pPr>
              <w:pStyle w:val="TableContents"/>
              <w:bidi w:val="0"/>
              <w:spacing w:before="0" w:after="283"/>
              <w:jc w:val="right"/>
              <w:rPr/>
            </w:pPr>
            <w:r>
              <w:rPr/>
              <w:t>98</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bottom w:val="single" w:sz="12" w:space="0" w:color="000000"/>
            </w:tcBorders>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tcMar>
              <w:bottom w:w="28" w:type="dxa"/>
            </w:tcMar>
            <w:vAlign w:val="center"/>
          </w:tcPr>
          <w:p>
            <w:pPr>
              <w:pStyle w:val="TableContents"/>
              <w:bidi w:val="0"/>
              <w:spacing w:before="0" w:after="283"/>
              <w:jc w:val="right"/>
              <w:rPr/>
            </w:pPr>
            <w:r>
              <w:rPr/>
              <w:t>98</w:t>
            </w:r>
          </w:p>
        </w:tc>
        <w:tc>
          <w:tcPr>
            <w:tcW w:w="135" w:type="dxa"/>
            <w:tcBorders/>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pPr>
            <w:r>
              <w:rPr/>
              <w:t>229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center"/>
          </w:tcPr>
          <w:p>
            <w:pPr>
              <w:pStyle w:val="TableContents"/>
              <w:bidi w:val="0"/>
              <w:spacing w:before="0" w:after="283"/>
              <w:jc w:val="right"/>
              <w:rPr/>
            </w:pPr>
            <w:r>
              <w:rPr/>
              <w:t>162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23, 2022, we appointed Mr. Justin Roberts as a director to fill a newly created vacancy on our Board of Directors. Mr. Roberts was elected to serve as a director at our combined 2022 and 2023 Annual Meeting held on June 26, 2023. Mr. Roberts will serve until our next Annual Meeting of Stockholders or until his successor is duly elected or appointed or his earlier death or resignation. As a director of our Company, Mr. Roberts is entitled to receive compensation in the same manner as our other non-employee directors, described in the section entitled “Director Compensation” in our Amendment No. 1 to Form 10-K for the fiscal year ended December 31, 2022, filed with the Securities and Exchange Commission on May 1, 2023, but he has elected not to receive any compensation for his service as a non-employee director at this time. Mr. Roberts currently serves as a Partner of Rubric. On July 29, 2022, September 30, 2022, October 28, 2022, and May 1, 2023, we entered into subscription agreements with Rubric. On December 30, 2022, in accordance with the terms of the Certificate of Designation, we redeemed all 29,000 outstanding shares of Series A Preferred Stock previously issued to affiliates of Rubric at a purchase price of $1,333 per share. also paid certain affiliates of Rubric approximately $3.0 million as a make-whole payment pursuant to the subscription agreements previously entered into between us and Rubric. On June 29, 2023, we issued and sold 312,525 shares of Common Stock to Rubric at a price per share equal to $3.6797 pursuant to the Subscription Agreement and received gross proceeds of $1.15 million, before expenses. On November 15, 2023 Rubric drew down an additional 877,192 shares of Common Stock at a price per share equal to $2.2761. We received gross proceeds of $2.0 million from the draw-down, before expenses. There were no draw-downs in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Business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was previously a women’s healthcare company with a mission of creating and commercializing innovative products to support the lifespan of women from pregnancy prevention through menopause. In December 2022, we changed our business to become a pharmaceutical royalty company, currently receiving royalties on products licensed to pharmaceutical organizations that possess commercial capabilities in the relevant territories. As part of the transformation that included the Mayne License Agreement, all results associated with former commercial operations have been reflected as discontinued operations in our consolidated financial statements. Assets and liabilities associated with the commercial business are classified as assets and liabilities of discontinued operations in our consolidated balance sheets. Additional disclosures regarding discontinued operations are provided in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100% of license revenue is related to Mayne Pharma, Theramex and Knight.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a royalty receivable of $3,525 thousand relating to the short-term portion of receivable from Mayne Pharma, Theramex and Knight and $13,713 thousand relating to the long-term portion of royalty receivable which includes royalties recognized from the minimum annual royalty that Mayne Pharma is obligated to pay to us under the Mayne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segment. Accordingly, the Company’s License revenue, Net loss, and Total assets reflect the revenue, loss, and assets of the Company’s single segment,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is the chief operating decision maker (“CODM”). The CODM uses Net loss in assessing the performance and in determining the allocation of resources of the Company’s reportable segment. The CODM is regularly provided expense information consistent with the expense categories presented in the Company’s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total revenue of the Company by geographic location. </w:t>
      </w:r>
    </w:p>
    <w:p>
      <w:pPr>
        <w:pStyle w:val="TextBody"/>
        <w:bidi w:val="0"/>
        <w:spacing w:before="0" w:after="0"/>
        <w:ind w:left="0" w:right="0" w:hanging="0"/>
        <w:jc w:val="left"/>
        <w:rPr>
          <w:caps w:val="false"/>
          <w:smallCaps w:val="false"/>
        </w:rPr>
      </w:pPr>
      <w:r>
        <w:rPr>
          <w:caps w:val="false"/>
          <w:smallCaps w:val="false"/>
        </w:rPr>
        <w:t> </w:t>
      </w:r>
    </w:p>
    <w:tbl>
      <w:tblPr>
        <w:tblW w:w="3893" w:type="dxa"/>
        <w:jc w:val="left"/>
        <w:tblInd w:w="0" w:type="dxa"/>
        <w:tblLayout w:type="fixed"/>
        <w:tblCellMar>
          <w:top w:w="0" w:type="dxa"/>
          <w:left w:w="0" w:type="dxa"/>
          <w:bottom w:w="0" w:type="dxa"/>
          <w:right w:w="0" w:type="dxa"/>
        </w:tblCellMar>
      </w:tblPr>
      <w:tblGrid>
        <w:gridCol w:w="1700"/>
        <w:gridCol w:w="90"/>
        <w:gridCol w:w="197"/>
        <w:gridCol w:w="683"/>
        <w:gridCol w:w="104"/>
        <w:gridCol w:w="104"/>
        <w:gridCol w:w="197"/>
        <w:gridCol w:w="683"/>
        <w:gridCol w:w="135"/>
      </w:tblGrid>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8" w:type="dxa"/>
            <w:gridSpan w:val="6"/>
            <w:tcBorders>
              <w:bottom w:val="single" w:sz="12" w:space="0" w:color="000000"/>
            </w:tcBorders>
            <w:tcMar>
              <w:bottom w:w="28" w:type="dxa"/>
            </w:tcMar>
            <w:vAlign w:val="center"/>
          </w:tcPr>
          <w:p>
            <w:pPr>
              <w:pStyle w:val="TableContents"/>
              <w:bidi w:val="0"/>
              <w:spacing w:before="0" w:after="283"/>
              <w:jc w:val="center"/>
              <w:rPr/>
            </w:pPr>
            <w:r>
              <w:rPr/>
              <w:t>As of December 31,</w:t>
            </w:r>
          </w:p>
        </w:tc>
        <w:tc>
          <w:tcPr>
            <w:tcW w:w="13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pPr>
            <w:r>
              <w:rPr/>
              <w:t>2024</w:t>
            </w:r>
          </w:p>
        </w:tc>
        <w:tc>
          <w:tcPr>
            <w:tcW w:w="13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b/>
              </w:rPr>
            </w:pPr>
            <w:r>
              <w:rPr>
                <w:b/>
              </w:rPr>
              <w:t>License revenue</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1,792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1,123</w:t>
            </w:r>
          </w:p>
        </w:tc>
        <w:tc>
          <w:tcPr>
            <w:tcW w:w="13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Non-U.S.</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1,230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83" w:type="dxa"/>
            <w:tcBorders>
              <w:bottom w:val="single" w:sz="12" w:space="0" w:color="000000"/>
            </w:tcBorders>
            <w:tcMar>
              <w:bottom w:w="28" w:type="dxa"/>
            </w:tcMar>
            <w:vAlign w:val="center"/>
          </w:tcPr>
          <w:p>
            <w:pPr>
              <w:pStyle w:val="TableContents"/>
              <w:bidi w:val="0"/>
              <w:spacing w:before="0" w:after="283"/>
              <w:jc w:val="right"/>
              <w:rPr/>
            </w:pPr>
            <w:r>
              <w:rPr/>
              <w:t>638</w:t>
            </w:r>
          </w:p>
        </w:tc>
        <w:tc>
          <w:tcPr>
            <w:tcW w:w="13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3,022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3" w:type="dxa"/>
            <w:tcBorders>
              <w:bottom w:val="double" w:sz="10" w:space="0" w:color="000000"/>
            </w:tcBorders>
            <w:shd w:fill="CCEEFF" w:val="clear"/>
            <w:tcMar>
              <w:bottom w:w="28" w:type="dxa"/>
            </w:tcMar>
            <w:vAlign w:val="center"/>
          </w:tcPr>
          <w:p>
            <w:pPr>
              <w:pStyle w:val="TableContents"/>
              <w:bidi w:val="0"/>
              <w:spacing w:before="0" w:after="283"/>
              <w:jc w:val="right"/>
              <w:rPr/>
            </w:pPr>
            <w:r>
              <w:rPr/>
              <w:t>1,761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F-30</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6" w:name="ea027599202ex23-1.htm"/>
      <w:bookmarkStart w:id="37" w:name="ksea027599202ex231"/>
      <w:bookmarkEnd w:id="36"/>
      <w:bookmarkEnd w:id="37"/>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7258050"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8"/>
                    <a:stretch>
                      <a:fillRect/>
                    </a:stretch>
                  </pic:blipFill>
                  <pic:spPr bwMode="auto">
                    <a:xfrm>
                      <a:off x="0" y="0"/>
                      <a:ext cx="7258050" cy="457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1445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9"/>
                    <a:stretch>
                      <a:fillRect/>
                    </a:stretch>
                  </pic:blipFill>
                  <pic:spPr bwMode="auto">
                    <a:xfrm>
                      <a:off x="0" y="0"/>
                      <a:ext cx="1314450" cy="7239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Consent of Independent Registered Public Accounting Firm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(Nos. 333-191730, 333-232268, 333-242363, 333-256879, 333-259221, and  333-260295) on Form 10-K of our report dated March 27, 2025 for TherapeuticsMD, Inc. (the “Company”) as of December 31, 2024, the related consolidated statements of operations, stockholders’ equity, and cash flows for the year ended December 31, 2024, and the related notes, before the effects of the revisions and reclassifications described in Note 1 (P), which have been subjected to audit procedures by the successor auditor whose report appears in the year ended December 31, 2025 annual report on Form 10-K of TherapeuticsMD,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other adjustments to retrospectively apply the change in presentation regarding the improvements to income tax disclosures described in Notes 1 (B) and 10 (adoption of ASU No. 2023-09), and accordingly, we do not express an opinion or any other form of assurance about whether such adjustments werew appropriate and have been properly applied. These adjustments were audited by the successor auditor whose report appears in the year ended December 31, 2025 annual report on Form 10-K of TherapeuticsMD,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Berkowitz Pollack Brant Advisors + CPAs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52</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w:t>
        <w:br/>
        <w:t>March 30,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477000" cy="23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0"/>
                    <a:stretch>
                      <a:fillRect/>
                    </a:stretch>
                  </pic:blipFill>
                  <pic:spPr bwMode="auto">
                    <a:xfrm>
                      <a:off x="0" y="0"/>
                      <a:ext cx="6477000" cy="238125"/>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8" w:name="ea027599202ex23-2.htm"/>
      <w:bookmarkStart w:id="39" w:name="ksea027599202ex232"/>
      <w:bookmarkEnd w:id="38"/>
      <w:bookmarkEnd w:id="39"/>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6419850" cy="11239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51"/>
                    <a:stretch>
                      <a:fillRect/>
                    </a:stretch>
                  </pic:blipFill>
                  <pic:spPr bwMode="auto">
                    <a:xfrm>
                      <a:off x="0" y="0"/>
                      <a:ext cx="6419850" cy="11239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S-8 (File No. 333-191730, File No. 333-232268, File No. 333-242363, File No. 333-256879, File No. 333-259221 and File No. 333-260295) of TherapeuticsMD, Inc. of our report dated March 31, 2026 on the consolidated financial statements of TherapeuticsMD, Inc. and Subsidiaries as of December 31, 2025 and for the year then ended, which report is included herein in the Annual Report on Form 10-K of TherapeuticsMD, Inc.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2615"/>
      </w:tblGrid>
      <w:tr>
        <w:trPr/>
        <w:tc>
          <w:tcPr>
            <w:tcW w:w="2615" w:type="dxa"/>
            <w:tcBorders/>
            <w:vAlign w:val="center"/>
          </w:tcPr>
          <w:p>
            <w:pPr>
              <w:pStyle w:val="TableContents"/>
              <w:bidi w:val="0"/>
              <w:spacing w:before="0" w:after="283"/>
              <w:jc w:val="left"/>
              <w:rPr>
                <w:sz w:val="20"/>
              </w:rPr>
            </w:pPr>
            <w:r>
              <w:rPr>
                <w:sz w:val="20"/>
              </w:rPr>
              <w:t>/s/ Carr, Riggs &amp; Ingram, L.L.C.</w:t>
            </w:r>
          </w:p>
        </w:tc>
      </w:tr>
      <w:tr>
        <w:trPr/>
        <w:tc>
          <w:tcPr>
            <w:tcW w:w="261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Palm Beach Gardens, FL</w:t>
            </w:r>
          </w:p>
        </w:tc>
      </w:tr>
      <w:tr>
        <w:trPr/>
        <w:tc>
          <w:tcPr>
            <w:tcW w:w="261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March 31, 2026</w:t>
            </w:r>
          </w:p>
        </w:tc>
      </w:tr>
    </w:tbl>
    <w:p>
      <w:pPr>
        <w:pStyle w:val="TextBody"/>
        <w:bidi w:val="0"/>
        <w:ind w:left="0" w:right="0" w:hanging="0"/>
        <w:jc w:val="right"/>
        <w:rPr>
          <w:b/>
        </w:rPr>
      </w:pPr>
      <w:bookmarkStart w:id="40" w:name="ea027599202ex31-1.htm"/>
      <w:bookmarkStart w:id="41" w:name="ksea027599202ex311"/>
      <w:bookmarkEnd w:id="40"/>
      <w:bookmarkEnd w:id="41"/>
      <w:r>
        <w:rPr>
          <w:b/>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Marlan D. Walker, certify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1"/>
        <w:gridCol w:w="9865"/>
      </w:tblGrid>
      <w:tr>
        <w:trPr/>
        <w:tc>
          <w:tcPr>
            <w:tcW w:w="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(1)</w:t>
            </w:r>
          </w:p>
        </w:tc>
        <w:tc>
          <w:tcPr>
            <w:tcW w:w="9865" w:type="dxa"/>
            <w:tcBorders/>
            <w:vAlign w:val="center"/>
          </w:tcPr>
          <w:p>
            <w:pPr>
              <w:pStyle w:val="TableContents"/>
              <w:bidi w:val="0"/>
              <w:spacing w:before="0" w:after="283"/>
              <w:jc w:val="both"/>
              <w:rPr/>
            </w:pPr>
            <w:r>
              <w:rPr/>
              <w:t>I have reviewed this Annual Report on Form 10-K/A of TherapeuticsMD, Inc. (the “10-K Report”);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Based on my knowledge, this 10-K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10-K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our conclusions about the effectiveness of the disclosure controls and procedures, as of the end of the period covered by this 10-K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10-K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both"/>
              <w:rPr/>
            </w:pPr>
            <w:r>
              <w:rPr/>
              <w:t> </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2" w:name="ea027599202ex31-2.htm"/>
      <w:bookmarkStart w:id="43" w:name="ksea027599202ex312"/>
      <w:bookmarkEnd w:id="42"/>
      <w:bookmarkEnd w:id="43"/>
      <w:r>
        <w:rPr>
          <w:b/>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Joseph Ziegler, certify that: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01"/>
        <w:gridCol w:w="9865"/>
      </w:tblGrid>
      <w:tr>
        <w:trPr/>
        <w:tc>
          <w:tcPr>
            <w:tcW w:w="3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(1)</w:t>
            </w:r>
          </w:p>
        </w:tc>
        <w:tc>
          <w:tcPr>
            <w:tcW w:w="9865" w:type="dxa"/>
            <w:tcBorders/>
            <w:vAlign w:val="center"/>
          </w:tcPr>
          <w:p>
            <w:pPr>
              <w:pStyle w:val="TableContents"/>
              <w:bidi w:val="0"/>
              <w:spacing w:before="0" w:after="283"/>
              <w:jc w:val="both"/>
              <w:rPr/>
            </w:pPr>
            <w:r>
              <w:rPr/>
              <w:t>I have reviewed this Annual Report on Form 10-K/A of TherapeuticsMD, Inc. (the “10-K Report”);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Based on my knowledge, this 10-K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(3)</w:t>
            </w:r>
          </w:p>
        </w:tc>
        <w:tc>
          <w:tcPr>
            <w:tcW w:w="9926" w:type="dxa"/>
            <w:tcBorders/>
            <w:vAlign w:val="center"/>
          </w:tcPr>
          <w:p>
            <w:pPr>
              <w:pStyle w:val="TableContents"/>
              <w:bidi w:val="0"/>
              <w:spacing w:before="0" w:after="283"/>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283"/>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10-K Report is being prepared;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left"/>
              <w:rPr/>
            </w:pPr>
            <w:r>
              <w:rPr/>
              <w:t>evaluated the effectiveness of the registrant’s disclosure controls and procedures and presented in this our conclusions about the effectiveness of the disclosure controls and procedures, as of the end of the period covered by this 10-K Report based on such evaluation;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disclosed in this 10-K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283"/>
              <w:jc w:val="left"/>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p>
      <w:pPr>
        <w:pStyle w:val="TextBody"/>
        <w:bidi w:val="0"/>
        <w:spacing w:before="0" w:after="0"/>
        <w:ind w:left="0" w:right="0" w:hanging="0"/>
        <w:jc w:val="both"/>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both"/>
              <w:rPr/>
            </w:pPr>
            <w:r>
              <w:rPr/>
              <w:t> </w:t>
            </w:r>
          </w:p>
        </w:tc>
        <w:tc>
          <w:tcPr>
            <w:tcW w:w="21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both"/>
              <w:rPr/>
            </w:pPr>
            <w:r>
              <w:rPr/>
              <w:t> </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4" w:name="ea027599202ex32-1.htm"/>
      <w:bookmarkStart w:id="45" w:name="ksea027599202ex321"/>
      <w:bookmarkEnd w:id="44"/>
      <w:bookmarkEnd w:id="45"/>
      <w:r>
        <w:rPr>
          <w:b/>
        </w:rPr>
        <w:t>Exhibit 32.1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10-K/A of TherapeuticsMD, Inc. (the “Company”) for the year ended December 31, 2025 (the “10-K Report”), as filed with the Securities and Exchange Commission on the date hereof, I, Marlan D. Walker, Chief Executive Officer of the Company, certify, to my best knowledge and belief, pursuant to 18 U.S.C. § 1350, as adopted pursuant to § 906 of the Sarbanes-Oxley Act of 2002, that: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left"/>
              <w:rPr/>
            </w:pPr>
            <w:r>
              <w:rPr/>
              <w:t>The 10-K Report fully complies with the requirements of Section 13(a) or 15(d) of the Securities Exchange Act of 1934 (15 U.S.C. 78m(a) or 78o(d));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left"/>
              <w:rPr/>
            </w:pPr>
            <w:r>
              <w:rPr/>
              <w:t>The information contained in the 10-K/A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tab/>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Marlan D. Walker</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certification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46" w:name="ea027599202ex32-2.htm"/>
      <w:bookmarkStart w:id="47" w:name="ksea027599202ex322"/>
      <w:bookmarkEnd w:id="46"/>
      <w:bookmarkEnd w:id="47"/>
      <w:r>
        <w:rPr>
          <w:b/>
        </w:rPr>
        <w:t>Exhibit 32.2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1350 CERTIFICATION OF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10-K/A of TherapeuticsMD, Inc. (the “Company”) for the year ended December 31, 2025 (the “10-K Report”), as filed with the Securities and Exchange Commission on the date hereof, I, Joseph Ziegler, Principal Financial Officer of the Company, certify, to my best knowledge and belief, pursuant to 18 U.S.C. § 1350, as adopted pursuant to § 906 of the Sarbanes-Oxley Act of 2002, that: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283"/>
              <w:jc w:val="left"/>
              <w:rPr/>
            </w:pPr>
            <w:r>
              <w:rPr/>
              <w:t>The 10-K/A Report fully complies with the requirements of Section 13(a) or 15(d) of the Securities Exchange Act of 1934 (15 U.S.C. 78m(a) or 78o(d));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left"/>
              <w:rPr/>
            </w:pPr>
            <w:r>
              <w:rPr/>
              <w:t>The information contained in the 10-K/A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tab/>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Ziegler</w:t>
            </w:r>
          </w:p>
        </w:tc>
      </w:tr>
      <w:tr>
        <w:trPr/>
        <w:tc>
          <w:tcPr>
            <w:tcW w:w="75"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certification has been provided to the Company and will be retained by the Company and furnished to the Securities and Exchange Commission or its staff upon request.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5743/000101968709002459/croff_8k-ex0201.htm" TargetMode="External"/><Relationship Id="rId4" Type="http://schemas.openxmlformats.org/officeDocument/2006/relationships/hyperlink" Target="https://www.sec.gov/Archives/edgar/data/25743/000119312510138955/dex101.htm" TargetMode="External"/><Relationship Id="rId5" Type="http://schemas.openxmlformats.org/officeDocument/2006/relationships/hyperlink" Target="https://www.sec.gov/Archives/edgar/data/25743/000135601808000256/ex332.htm" TargetMode="External"/><Relationship Id="rId6" Type="http://schemas.openxmlformats.org/officeDocument/2006/relationships/hyperlink" Target="https://www.sec.gov/Archives/edgar/data/25743/000138713111001316/ex-10_01.htm" TargetMode="External"/><Relationship Id="rId7" Type="http://schemas.openxmlformats.org/officeDocument/2006/relationships/hyperlink" Target="https://www.sec.gov/Archives/edgar/data/25743/000156459022009476/txmd-ex21_221.htm" TargetMode="External"/><Relationship Id="rId8" Type="http://schemas.openxmlformats.org/officeDocument/2006/relationships/hyperlink" Target="http://www.sec.gov/Archives/edgar/data/25743/000119312510175462/dex34.htm" TargetMode="External"/><Relationship Id="rId9" Type="http://schemas.openxmlformats.org/officeDocument/2006/relationships/hyperlink" Target="http://www.sec.gov/Archives/edgar/data/25743/000119312510175462/dex35.htm" TargetMode="External"/><Relationship Id="rId10" Type="http://schemas.openxmlformats.org/officeDocument/2006/relationships/hyperlink" Target="https://www.sec.gov/Archives/edgar/data/25743/000121390026036515/ea027599201ex3-3.htm" TargetMode="External"/><Relationship Id="rId11" Type="http://schemas.openxmlformats.org/officeDocument/2006/relationships/hyperlink" Target="https://www.sec.gov/Archives/edgar/data/25743/000119312510149198/ddef14c.htm" TargetMode="External"/><Relationship Id="rId12" Type="http://schemas.openxmlformats.org/officeDocument/2006/relationships/hyperlink" Target="https://www.sec.gov/Archives/edgar/data/25743/000138713115003704/ex3-1.htm" TargetMode="External"/><Relationship Id="rId13" Type="http://schemas.openxmlformats.org/officeDocument/2006/relationships/hyperlink" Target="http://www.sec.gov/Archives/edgar/data/25743/000156459022022465/txmd-ex31_10.htm" TargetMode="External"/><Relationship Id="rId14" Type="http://schemas.openxmlformats.org/officeDocument/2006/relationships/hyperlink" Target="https://www.sec.gov/Archives/edgar/data/25743/000119312522207645/d356180dex32.htm" TargetMode="External"/><Relationship Id="rId15" Type="http://schemas.openxmlformats.org/officeDocument/2006/relationships/hyperlink" Target="https://www.sec.gov/Archives/edgar/data/25743/000156459022018687/txmd-ex31_8.htm" TargetMode="External"/><Relationship Id="rId16" Type="http://schemas.openxmlformats.org/officeDocument/2006/relationships/hyperlink" Target="https://www.sec.gov/Archives/edgar/data/25743/000119312522207645/d356180dex31.htm" TargetMode="External"/><Relationship Id="rId17" Type="http://schemas.openxmlformats.org/officeDocument/2006/relationships/hyperlink" Target="https://www.sec.gov/Archives/edgar/data/25743/000119312523182808/d816117dex31.htm" TargetMode="External"/><Relationship Id="rId18" Type="http://schemas.openxmlformats.org/officeDocument/2006/relationships/hyperlink" Target="https://www.sec.gov/Archives/edgar/data/25743/000121390026036515/ea027599201ex3-11.htm" TargetMode="External"/><Relationship Id="rId19" Type="http://schemas.openxmlformats.org/officeDocument/2006/relationships/hyperlink" Target="http://www.sec.gov/Archives/edgar/data/25743/000138713113000166/ex4-2.htm" TargetMode="External"/><Relationship Id="rId20" Type="http://schemas.openxmlformats.org/officeDocument/2006/relationships/hyperlink" Target="https://www.sec.gov/Archives/edgar/data/25743/000156459023005514/txmd-ex42_160.htm" TargetMode="External"/><Relationship Id="rId21" Type="http://schemas.openxmlformats.org/officeDocument/2006/relationships/hyperlink" Target="http://www.sec.gov/Archives/edgar/data/25743/000138713111002213/ex-10_3.htm" TargetMode="External"/><Relationship Id="rId22" Type="http://schemas.openxmlformats.org/officeDocument/2006/relationships/hyperlink" Target="http://www.sec.gov/Archives/edgar/data/25743/000138713111002213/ex-10_2.htm" TargetMode="External"/><Relationship Id="rId23" Type="http://schemas.openxmlformats.org/officeDocument/2006/relationships/hyperlink" Target="http://www.sec.gov/Archives/edgar/data/25743/000138713119004545/ex99-1.htm" TargetMode="External"/><Relationship Id="rId24" Type="http://schemas.openxmlformats.org/officeDocument/2006/relationships/hyperlink" Target="https://www.sec.gov/Archives/edgar/data/25743/000138713113003145/ex10-34.htm" TargetMode="External"/><Relationship Id="rId25" Type="http://schemas.openxmlformats.org/officeDocument/2006/relationships/hyperlink" Target="https://www.sec.gov/Archives/edgar/data/25743/000119312513399924/d611784dex991.htm" TargetMode="External"/><Relationship Id="rId26" Type="http://schemas.openxmlformats.org/officeDocument/2006/relationships/hyperlink" Target="https://www.sec.gov/Archives/edgar/data/25743/000138713120007144/ex4-1.htm" TargetMode="External"/><Relationship Id="rId27" Type="http://schemas.openxmlformats.org/officeDocument/2006/relationships/hyperlink" Target="https://www.sec.gov/Archives/edgar/data/25743/000138713120009695/ex4-2.htm" TargetMode="External"/><Relationship Id="rId28" Type="http://schemas.openxmlformats.org/officeDocument/2006/relationships/hyperlink" Target="https://www.sec.gov/Archives/edgar/data/25743/000138713121003140/ex10-12.htm" TargetMode="External"/><Relationship Id="rId29" Type="http://schemas.openxmlformats.org/officeDocument/2006/relationships/hyperlink" Target="https://www.sec.gov/Archives/edgar/data/25743/000138713120007144/ex10-5.htm" TargetMode="External"/><Relationship Id="rId30" Type="http://schemas.openxmlformats.org/officeDocument/2006/relationships/hyperlink" Target="https://www.sec.gov/Archives/edgar/data/25743/000138713118005976/ex10-1.htm" TargetMode="External"/><Relationship Id="rId31" Type="http://schemas.openxmlformats.org/officeDocument/2006/relationships/hyperlink" Target="https://www.sec.gov/Archives/edgar/data/25743/000138713119008469/ex10-2.htm" TargetMode="External"/><Relationship Id="rId32" Type="http://schemas.openxmlformats.org/officeDocument/2006/relationships/hyperlink" Target="https://www.sec.gov/Archives/edgar/data/25743/000138713119005935/ex10-3.htm" TargetMode="External"/><Relationship Id="rId33" Type="http://schemas.openxmlformats.org/officeDocument/2006/relationships/hyperlink" Target="https://www.sec.gov/Archives/edgar/data/25743/000138713120009695/ex10-3.htm" TargetMode="External"/><Relationship Id="rId34" Type="http://schemas.openxmlformats.org/officeDocument/2006/relationships/hyperlink" Target="https://www.sec.gov/Archives/edgar/data/25743/000119312522298002/d409080dex101.htm" TargetMode="External"/><Relationship Id="rId35" Type="http://schemas.openxmlformats.org/officeDocument/2006/relationships/hyperlink" Target="http://www.sec.gov/Archives/edgar/data/25743/000119312522298002/d409080dex102.htm" TargetMode="External"/><Relationship Id="rId36" Type="http://schemas.openxmlformats.org/officeDocument/2006/relationships/hyperlink" Target="https://www.sec.gov/Archives/edgar/data/25743/000156459023005514/txmd-ex1045_158.htm" TargetMode="External"/><Relationship Id="rId37" Type="http://schemas.openxmlformats.org/officeDocument/2006/relationships/hyperlink" Target="https://www.sec.gov/Archives/edgar/data/25743/000156459023005514/txmd-ex1046_159.htm" TargetMode="External"/><Relationship Id="rId38" Type="http://schemas.openxmlformats.org/officeDocument/2006/relationships/hyperlink" Target="https://www.sec.gov/Archives/edgar/data/25743/000156459023005514/txmd-ex1047_471.htm" TargetMode="External"/><Relationship Id="rId39" Type="http://schemas.openxmlformats.org/officeDocument/2006/relationships/hyperlink" Target="https://www.sec.gov/Archives/edgar/data/25743/000156459023005514/txmd-ex1048_439.htm" TargetMode="External"/><Relationship Id="rId40" Type="http://schemas.openxmlformats.org/officeDocument/2006/relationships/hyperlink" Target="https://www.sec.gov/Archives/edgar/data/25743/000119312523050813/d372195dex101.htm" TargetMode="External"/><Relationship Id="rId41" Type="http://schemas.openxmlformats.org/officeDocument/2006/relationships/hyperlink" Target="https://www.sec.gov/Archives/edgar/data/25743/000101376225003442/ea023203401ex10-36_therapeu.htm" TargetMode="External"/><Relationship Id="rId42" Type="http://schemas.openxmlformats.org/officeDocument/2006/relationships/hyperlink" Target="https://www.sec.gov/Archives/edgar/data/25743/000119312523050813/d372195dex102.htm" TargetMode="External"/><Relationship Id="rId43" Type="http://schemas.openxmlformats.org/officeDocument/2006/relationships/hyperlink" Target="https://www.sec.gov/Archives/edgar/data/25743/000119312523277143/d569965dex101.htm" TargetMode="External"/><Relationship Id="rId44" Type="http://schemas.openxmlformats.org/officeDocument/2006/relationships/hyperlink" Target="https://www.sec.gov/Archives/edgar/data/25743/000121390026005779/ea027343601ex16-1_therapeu.htm" TargetMode="External"/><Relationship Id="rId45" Type="http://schemas.openxmlformats.org/officeDocument/2006/relationships/hyperlink" Target="https://www.sec.gov/Archives/edgar/data/25743/000101376225003442/ea023203401ex19_therapeu.htm" TargetMode="External"/><Relationship Id="rId46" Type="http://schemas.openxmlformats.org/officeDocument/2006/relationships/hyperlink" Target="https://www.sec.gov/Archives/edgar/data/25743/000121390026036515/ea027599201ex21-1.htm" TargetMode="External"/><Relationship Id="rId47" Type="http://schemas.openxmlformats.org/officeDocument/2006/relationships/hyperlink" Target="http://www.sec.gov/Archives/edgar/data/25743/000121390024028003/ea020146501ex97-1_therapeu.htm" TargetMode="External"/><Relationship Id="rId48" Type="http://schemas.openxmlformats.org/officeDocument/2006/relationships/image" Target="media/image2.jpeg"/><Relationship Id="rId49" Type="http://schemas.openxmlformats.org/officeDocument/2006/relationships/image" Target="media/image3.jpeg"/><Relationship Id="rId50" Type="http://schemas.openxmlformats.org/officeDocument/2006/relationships/image" Target="media/image4.jpeg"/><Relationship Id="rId51" Type="http://schemas.openxmlformats.org/officeDocument/2006/relationships/image" Target="media/image5.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64773</Words>
  <Characters>358202</Characters>
  <CharactersWithSpaces>424231</CharactersWithSpaces>
  <Paragraphs>7321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