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[X] ANNUAL REPORT PURSUANT TO SECTION 13 OR 15(d) OF THE SECURITIES EXCHANGE ACT OF 1934</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For the fiscal year ended December 31, 2008</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[_] TRANSITION REPORT PURSUANT TO SECTION 13 OR 15(d) OF THE SECURITIES EXCHANGE ACT OF 1934</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000-16731</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CROFF ENTERPRISES,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440" w:type="dxa"/>
        <w:tblCellMar>
          <w:top w:w="0" w:type="dxa"/>
          <w:left w:w="0" w:type="dxa"/>
          <w:bottom w:w="0" w:type="dxa"/>
          <w:right w:w="0" w:type="dxa"/>
        </w:tblCellMar>
      </w:tblPr>
      <w:tr>
        <w:trPr>
          <w:trHeight w:val="207"/>
        </w:trPr>
        <w:tc>
          <w:tcPr>
            <w:tcW w:w="2120" w:type="dxa"/>
            <w:vAlign w:val="bottom"/>
          </w:tcPr>
          <w:p>
            <w:pPr>
              <w:spacing w:after="0"/>
              <w:rPr>
                <w:sz w:val="17"/>
                <w:szCs w:val="17"/>
                <w:color w:val="auto"/>
              </w:rPr>
            </w:pPr>
          </w:p>
        </w:tc>
        <w:tc>
          <w:tcPr>
            <w:tcW w:w="3660" w:type="dxa"/>
            <w:vAlign w:val="bottom"/>
            <w:gridSpan w:val="3"/>
          </w:tcPr>
          <w:p>
            <w:pPr>
              <w:jc w:val="center"/>
              <w:ind w:right="3280"/>
              <w:spacing w:after="0"/>
              <w:rPr>
                <w:sz w:val="20"/>
                <w:szCs w:val="20"/>
                <w:color w:val="auto"/>
              </w:rPr>
            </w:pPr>
            <w:r>
              <w:rPr>
                <w:rFonts w:ascii="Arial" w:cs="Arial" w:eastAsia="Arial" w:hAnsi="Arial"/>
                <w:sz w:val="18"/>
                <w:szCs w:val="18"/>
                <w:b w:val="1"/>
                <w:bCs w:val="1"/>
                <w:color w:val="auto"/>
                <w:w w:val="94"/>
              </w:rPr>
              <w:t>Utah</w:t>
            </w:r>
          </w:p>
        </w:tc>
        <w:tc>
          <w:tcPr>
            <w:tcW w:w="37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87-0233535</w:t>
            </w:r>
          </w:p>
        </w:tc>
      </w:tr>
      <w:tr>
        <w:trPr>
          <w:trHeight w:val="20"/>
        </w:trPr>
        <w:tc>
          <w:tcPr>
            <w:tcW w:w="2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5780" w:type="dxa"/>
            <w:vAlign w:val="bottom"/>
            <w:gridSpan w:val="4"/>
          </w:tcPr>
          <w:p>
            <w:pPr>
              <w:jc w:val="center"/>
              <w:ind w:right="11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60" w:type="dxa"/>
            <w:vAlign w:val="bottom"/>
            <w:gridSpan w:val="5"/>
          </w:tcPr>
          <w:p>
            <w:pPr>
              <w:jc w:val="center"/>
              <w:ind w:left="105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46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9903 Santa Monica Blvd, Suite 287, Beverly Hills, California</w:t>
            </w:r>
          </w:p>
        </w:tc>
        <w:tc>
          <w:tcPr>
            <w:tcW w:w="1140" w:type="dxa"/>
            <w:vAlign w:val="bottom"/>
          </w:tcPr>
          <w:p>
            <w:pPr>
              <w:spacing w:after="0"/>
              <w:rPr>
                <w:sz w:val="24"/>
                <w:szCs w:val="24"/>
                <w:color w:val="auto"/>
              </w:rPr>
            </w:pPr>
          </w:p>
        </w:tc>
        <w:tc>
          <w:tcPr>
            <w:tcW w:w="2220" w:type="dxa"/>
            <w:vAlign w:val="bottom"/>
            <w:gridSpan w:val="2"/>
          </w:tcPr>
          <w:p>
            <w:pPr>
              <w:spacing w:after="0"/>
              <w:rPr>
                <w:sz w:val="24"/>
                <w:szCs w:val="2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90212</w:t>
            </w:r>
          </w:p>
        </w:tc>
        <w:tc>
          <w:tcPr>
            <w:tcW w:w="880" w:type="dxa"/>
            <w:vAlign w:val="bottom"/>
          </w:tcPr>
          <w:p>
            <w:pPr>
              <w:spacing w:after="0"/>
              <w:rPr>
                <w:sz w:val="24"/>
                <w:szCs w:val="24"/>
                <w:color w:val="auto"/>
              </w:rPr>
            </w:pPr>
          </w:p>
        </w:tc>
      </w:tr>
      <w:tr>
        <w:trPr>
          <w:trHeight w:val="20"/>
        </w:trPr>
        <w:tc>
          <w:tcPr>
            <w:tcW w:w="2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464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(Address of principal executive offices)</w:t>
            </w:r>
          </w:p>
        </w:tc>
        <w:tc>
          <w:tcPr>
            <w:tcW w:w="11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760" w:type="dxa"/>
            <w:vAlign w:val="bottom"/>
            <w:gridSpan w:val="4"/>
          </w:tcPr>
          <w:p>
            <w:pPr>
              <w:jc w:val="center"/>
              <w:ind w:right="880"/>
              <w:spacing w:after="0"/>
              <w:rPr>
                <w:sz w:val="20"/>
                <w:szCs w:val="20"/>
                <w:color w:val="auto"/>
              </w:rPr>
            </w:pPr>
            <w:r>
              <w:rPr>
                <w:rFonts w:ascii="Arial" w:cs="Arial" w:eastAsia="Arial" w:hAnsi="Arial"/>
                <w:sz w:val="18"/>
                <w:szCs w:val="18"/>
                <w:color w:val="auto"/>
                <w:w w:val="94"/>
              </w:rPr>
              <w:t>(Zip Code)</w:t>
            </w:r>
          </w:p>
        </w:tc>
      </w:tr>
    </w:tbl>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(818) 735-0050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$0.10 par value common stock</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[_] NO [X]</w:t>
      </w:r>
    </w:p>
    <w:p>
      <w:pPr>
        <w:spacing w:after="0" w:line="279" w:lineRule="exact"/>
        <w:rPr>
          <w:sz w:val="24"/>
          <w:szCs w:val="24"/>
          <w:color w:val="auto"/>
        </w:rPr>
      </w:pPr>
    </w:p>
    <w:p>
      <w:pPr>
        <w:spacing w:after="0"/>
        <w:tabs>
          <w:tab w:leader="none" w:pos="8780" w:val="left"/>
        </w:tabs>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tab/>
        <w:t>YES [_] NO [X]</w:t>
      </w:r>
    </w:p>
    <w:p>
      <w:pPr>
        <w:spacing w:after="0" w:line="27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235"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Form10-K or any amendment to this Form 10-K.</w:t>
      </w:r>
    </w:p>
    <w:p>
      <w:pPr>
        <w:spacing w:after="0"/>
        <w:rPr>
          <w:sz w:val="20"/>
          <w:szCs w:val="20"/>
          <w:color w:val="auto"/>
        </w:rPr>
      </w:pPr>
      <w:r>
        <w:rPr>
          <w:rFonts w:ascii="Arial" w:cs="Arial" w:eastAsia="Arial" w:hAnsi="Arial"/>
          <w:sz w:val="18"/>
          <w:szCs w:val="18"/>
          <w:color w:val="auto"/>
        </w:rPr>
        <w:t>YES [_]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or a smaller reporting company. See definitions of “large accelerated filer,” “accelerated filer” and “smaller reporting company” in Rule12b-2 of the Exchange Act.</w:t>
      </w:r>
    </w:p>
    <w:p>
      <w:pPr>
        <w:sectPr>
          <w:pgSz w:w="11900" w:h="16838" w:orient="portrait"/>
          <w:cols w:equalWidth="0" w:num="1">
            <w:col w:w="11420"/>
          </w:cols>
          <w:pgMar w:left="240" w:top="395" w:right="239" w:bottom="1440" w:gutter="0" w:footer="0" w:header="0"/>
        </w:sectPr>
      </w:pPr>
    </w:p>
    <w:p>
      <w:pPr>
        <w:spacing w:after="0" w:line="22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Large accelerated filer [_]</w:t>
      </w:r>
    </w:p>
    <w:p>
      <w:pPr>
        <w:spacing w:after="0" w:line="35"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Non-accelerated filer [_]</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Accelerated filer [_]</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14" w:lineRule="exact"/>
        <w:rPr>
          <w:sz w:val="20"/>
          <w:szCs w:val="20"/>
          <w:color w:val="auto"/>
        </w:rPr>
      </w:pPr>
    </w:p>
    <w:p>
      <w:pPr>
        <w:sectPr>
          <w:pgSz w:w="11900" w:h="16838" w:orient="portrait"/>
          <w:cols w:equalWidth="0" w:num="3">
            <w:col w:w="6540" w:space="720"/>
            <w:col w:w="1960" w:space="100"/>
            <w:col w:w="2100"/>
          </w:cols>
          <w:pgMar w:left="240" w:top="395" w:right="239" w:bottom="1440" w:gutter="0" w:footer="0" w:header="0"/>
          <w:type w:val="continuous"/>
        </w:sectPr>
      </w:pP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by Rule12b-2 of the 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YES [X] NO [_]</w:t>
      </w:r>
    </w:p>
    <w:p>
      <w:pPr>
        <w:spacing w:after="0" w:line="2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aggregate market value of the voting and non-voting common equity held by non-affiliates of the registrant, based upon the average bid and asked price of such common equity as of June 30, 2008, as reported by the OTC Bulletin Board, was approximately $558,000. Shares of common stock held by each officer and director and by each person who owns 5% or more of the outstanding common stock have been excluded in that such persons may be deemed to be affiliates. This determination of affiliate status is not necessarily a conclusive determination for other purposes.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18, 2009 (the latest practicable date), the registrant had outstanding 1,018,099 shares of its $0.10 par value common stock.</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DOCUMENTS INCORPORATED BY REFERENCE</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617855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740" w:type="dxa"/>
            <w:vAlign w:val="bottom"/>
          </w:tcPr>
          <w:p>
            <w:pPr>
              <w:jc w:val="center"/>
              <w:ind w:left="550"/>
              <w:spacing w:after="0"/>
              <w:rPr>
                <w:sz w:val="20"/>
                <w:szCs w:val="20"/>
                <w:color w:val="auto"/>
              </w:rPr>
            </w:pPr>
            <w:r>
              <w:rPr>
                <w:rFonts w:ascii="Arial" w:cs="Arial" w:eastAsia="Arial" w:hAnsi="Arial"/>
                <w:sz w:val="18"/>
                <w:szCs w:val="18"/>
                <w:b w:val="1"/>
                <w:bCs w:val="1"/>
                <w:color w:val="auto"/>
                <w:w w:val="99"/>
              </w:rPr>
              <w:t>CROFF ENTERPRISES, INC.</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740" w:type="dxa"/>
            <w:vAlign w:val="bottom"/>
          </w:tcPr>
          <w:p>
            <w:pPr>
              <w:jc w:val="center"/>
              <w:ind w:left="570"/>
              <w:spacing w:after="0"/>
              <w:rPr>
                <w:sz w:val="20"/>
                <w:szCs w:val="20"/>
                <w:color w:val="auto"/>
              </w:rPr>
            </w:pPr>
            <w:r>
              <w:rPr>
                <w:rFonts w:ascii="Arial" w:cs="Arial" w:eastAsia="Arial" w:hAnsi="Arial"/>
                <w:sz w:val="18"/>
                <w:szCs w:val="18"/>
                <w:color w:val="auto"/>
                <w:w w:val="97"/>
              </w:rPr>
              <w:t>INDEX TO INFORMATION INCLUDED IN THE ANNUAL REPORT ON FORM 10-K</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740" w:type="dxa"/>
            <w:vAlign w:val="bottom"/>
          </w:tcPr>
          <w:p>
            <w:pPr>
              <w:jc w:val="center"/>
              <w:ind w:left="510"/>
              <w:spacing w:after="0"/>
              <w:rPr>
                <w:sz w:val="20"/>
                <w:szCs w:val="20"/>
                <w:color w:val="auto"/>
              </w:rPr>
            </w:pPr>
            <w:r>
              <w:rPr>
                <w:rFonts w:ascii="Arial" w:cs="Arial" w:eastAsia="Arial" w:hAnsi="Arial"/>
                <w:sz w:val="18"/>
                <w:szCs w:val="18"/>
                <w:color w:val="auto"/>
                <w:w w:val="95"/>
              </w:rPr>
              <w:t>FOR THE FISCAL YEAR ENDED DECEMBER 31, 2008</w:t>
            </w: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1660" w:type="dxa"/>
            <w:vAlign w:val="bottom"/>
          </w:tcPr>
          <w:p>
            <w:pPr>
              <w:jc w:val="center"/>
              <w:ind w:left="43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30"/>
        </w:trPr>
        <w:tc>
          <w:tcPr>
            <w:tcW w:w="1020" w:type="dxa"/>
            <w:vAlign w:val="bottom"/>
            <w:gridSpan w:val="2"/>
            <w:vMerge w:val="restart"/>
          </w:tcPr>
          <w:p>
            <w:pPr>
              <w:spacing w:after="0"/>
              <w:rPr>
                <w:sz w:val="20"/>
                <w:szCs w:val="20"/>
                <w:color w:val="auto"/>
              </w:rPr>
            </w:pPr>
            <w:r>
              <w:rPr>
                <w:rFonts w:ascii="Arial" w:cs="Arial" w:eastAsia="Arial" w:hAnsi="Arial"/>
                <w:sz w:val="18"/>
                <w:szCs w:val="18"/>
                <w:color w:val="auto"/>
              </w:rPr>
              <w:t>PART I</w:t>
            </w:r>
          </w:p>
        </w:tc>
        <w:tc>
          <w:tcPr>
            <w:tcW w:w="8740" w:type="dxa"/>
            <w:vAlign w:val="bottom"/>
          </w:tcPr>
          <w:p>
            <w:pPr>
              <w:spacing w:after="0"/>
              <w:rPr>
                <w:sz w:val="20"/>
                <w:szCs w:val="20"/>
                <w:color w:val="auto"/>
              </w:rPr>
            </w:pPr>
          </w:p>
        </w:tc>
        <w:tc>
          <w:tcPr>
            <w:tcW w:w="1660" w:type="dxa"/>
            <w:vAlign w:val="bottom"/>
          </w:tcPr>
          <w:p>
            <w:pPr>
              <w:jc w:val="center"/>
              <w:ind w:left="430"/>
              <w:spacing w:after="0"/>
              <w:rPr>
                <w:sz w:val="20"/>
                <w:szCs w:val="20"/>
                <w:color w:val="auto"/>
              </w:rPr>
            </w:pPr>
            <w:r>
              <w:rPr>
                <w:rFonts w:ascii="Arial" w:cs="Arial" w:eastAsia="Arial" w:hAnsi="Arial"/>
                <w:sz w:val="18"/>
                <w:szCs w:val="18"/>
                <w:color w:val="auto"/>
                <w:w w:val="90"/>
              </w:rPr>
              <w:t>Number</w:t>
            </w:r>
          </w:p>
        </w:tc>
        <w:tc>
          <w:tcPr>
            <w:tcW w:w="0" w:type="dxa"/>
            <w:vAlign w:val="bottom"/>
          </w:tcPr>
          <w:p>
            <w:pPr>
              <w:spacing w:after="0"/>
              <w:rPr>
                <w:sz w:val="1"/>
                <w:szCs w:val="1"/>
                <w:color w:val="auto"/>
              </w:rPr>
            </w:pPr>
          </w:p>
        </w:tc>
      </w:tr>
      <w:tr>
        <w:trPr>
          <w:trHeight w:val="216"/>
        </w:trPr>
        <w:tc>
          <w:tcPr>
            <w:tcW w:w="1020" w:type="dxa"/>
            <w:vAlign w:val="bottom"/>
            <w:gridSpan w:val="2"/>
            <w:vMerge w:val="continue"/>
          </w:tcPr>
          <w:p>
            <w:pPr>
              <w:spacing w:after="0"/>
              <w:rPr>
                <w:sz w:val="18"/>
                <w:szCs w:val="18"/>
                <w:color w:val="auto"/>
              </w:rPr>
            </w:pPr>
          </w:p>
        </w:tc>
        <w:tc>
          <w:tcPr>
            <w:tcW w:w="8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Item 1.</w:t>
            </w:r>
          </w:p>
        </w:tc>
        <w:tc>
          <w:tcPr>
            <w:tcW w:w="8740" w:type="dxa"/>
            <w:vAlign w:val="bottom"/>
            <w:shd w:val="clear" w:color="auto" w:fill="EEEEEE"/>
          </w:tcPr>
          <w:p>
            <w:pPr>
              <w:ind w:left="20"/>
              <w:spacing w:after="0"/>
              <w:rPr>
                <w:sz w:val="20"/>
                <w:szCs w:val="20"/>
                <w:color w:val="auto"/>
              </w:rPr>
            </w:pPr>
            <w:r>
              <w:rPr>
                <w:rFonts w:ascii="Arial" w:cs="Arial" w:eastAsia="Arial" w:hAnsi="Arial"/>
                <w:sz w:val="18"/>
                <w:szCs w:val="18"/>
                <w:color w:val="auto"/>
              </w:rPr>
              <w:t>Business.</w:t>
            </w:r>
          </w:p>
        </w:tc>
        <w:tc>
          <w:tcPr>
            <w:tcW w:w="1660" w:type="dxa"/>
            <w:vAlign w:val="bottom"/>
            <w:shd w:val="clear" w:color="auto" w:fill="EEEEEE"/>
          </w:tcPr>
          <w:p>
            <w:pPr>
              <w:jc w:val="center"/>
              <w:ind w:left="43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Item 2.</w:t>
            </w:r>
          </w:p>
        </w:tc>
        <w:tc>
          <w:tcPr>
            <w:tcW w:w="8740" w:type="dxa"/>
            <w:vAlign w:val="bottom"/>
            <w:shd w:val="clear" w:color="auto" w:fill="EEEEEE"/>
          </w:tcPr>
          <w:p>
            <w:pPr>
              <w:ind w:left="80"/>
              <w:spacing w:after="0"/>
              <w:rPr>
                <w:sz w:val="20"/>
                <w:szCs w:val="20"/>
                <w:color w:val="auto"/>
              </w:rPr>
            </w:pPr>
            <w:r>
              <w:rPr>
                <w:rFonts w:ascii="Arial" w:cs="Arial" w:eastAsia="Arial" w:hAnsi="Arial"/>
                <w:sz w:val="18"/>
                <w:szCs w:val="18"/>
                <w:color w:val="auto"/>
              </w:rPr>
              <w:t>Properties.</w:t>
            </w:r>
          </w:p>
        </w:tc>
        <w:tc>
          <w:tcPr>
            <w:tcW w:w="1660" w:type="dxa"/>
            <w:vAlign w:val="bottom"/>
            <w:shd w:val="clear" w:color="auto" w:fill="EEEEEE"/>
          </w:tcPr>
          <w:p>
            <w:pPr>
              <w:jc w:val="center"/>
              <w:ind w:left="43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Item 3.</w:t>
            </w:r>
          </w:p>
        </w:tc>
        <w:tc>
          <w:tcPr>
            <w:tcW w:w="8740" w:type="dxa"/>
            <w:vAlign w:val="bottom"/>
            <w:shd w:val="clear" w:color="auto" w:fill="EEEEEE"/>
          </w:tcPr>
          <w:p>
            <w:pPr>
              <w:ind w:left="20"/>
              <w:spacing w:after="0"/>
              <w:rPr>
                <w:sz w:val="20"/>
                <w:szCs w:val="20"/>
                <w:color w:val="auto"/>
              </w:rPr>
            </w:pPr>
            <w:r>
              <w:rPr>
                <w:rFonts w:ascii="Arial" w:cs="Arial" w:eastAsia="Arial" w:hAnsi="Arial"/>
                <w:sz w:val="18"/>
                <w:szCs w:val="18"/>
                <w:color w:val="auto"/>
              </w:rPr>
              <w:t>Legal Proceedings.</w:t>
            </w:r>
          </w:p>
        </w:tc>
        <w:tc>
          <w:tcPr>
            <w:tcW w:w="1660" w:type="dxa"/>
            <w:vAlign w:val="bottom"/>
            <w:shd w:val="clear" w:color="auto" w:fill="EEEEEE"/>
          </w:tcPr>
          <w:p>
            <w:pPr>
              <w:jc w:val="center"/>
              <w:ind w:left="43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Item 4.</w:t>
            </w:r>
          </w:p>
        </w:tc>
        <w:tc>
          <w:tcPr>
            <w:tcW w:w="8740" w:type="dxa"/>
            <w:vAlign w:val="bottom"/>
            <w:shd w:val="clear" w:color="auto" w:fill="EEEEEE"/>
          </w:tcPr>
          <w:p>
            <w:pPr>
              <w:ind w:left="20"/>
              <w:spacing w:after="0"/>
              <w:rPr>
                <w:sz w:val="20"/>
                <w:szCs w:val="20"/>
                <w:color w:val="auto"/>
              </w:rPr>
            </w:pPr>
            <w:r>
              <w:rPr>
                <w:rFonts w:ascii="Arial" w:cs="Arial" w:eastAsia="Arial" w:hAnsi="Arial"/>
                <w:sz w:val="18"/>
                <w:szCs w:val="18"/>
                <w:color w:val="auto"/>
              </w:rPr>
              <w:t>Submission of Matters to a Vote of Security Holders.</w:t>
            </w:r>
          </w:p>
        </w:tc>
        <w:tc>
          <w:tcPr>
            <w:tcW w:w="1660" w:type="dxa"/>
            <w:vAlign w:val="bottom"/>
            <w:shd w:val="clear" w:color="auto" w:fill="EEEEEE"/>
          </w:tcPr>
          <w:p>
            <w:pPr>
              <w:jc w:val="center"/>
              <w:ind w:left="43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PART II</w:t>
            </w:r>
          </w:p>
        </w:tc>
        <w:tc>
          <w:tcPr>
            <w:tcW w:w="8740" w:type="dxa"/>
            <w:vAlign w:val="bottom"/>
            <w:shd w:val="clear" w:color="auto" w:fill="EEEEEE"/>
          </w:tcPr>
          <w:p>
            <w:pPr>
              <w:spacing w:after="0"/>
              <w:rPr>
                <w:sz w:val="18"/>
                <w:szCs w:val="18"/>
                <w:color w:val="auto"/>
              </w:rPr>
            </w:pPr>
          </w:p>
        </w:tc>
        <w:tc>
          <w:tcPr>
            <w:tcW w:w="1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Item 5.</w:t>
            </w:r>
          </w:p>
        </w:tc>
        <w:tc>
          <w:tcPr>
            <w:tcW w:w="8740" w:type="dxa"/>
            <w:vAlign w:val="bottom"/>
            <w:shd w:val="clear" w:color="auto" w:fill="EEEEEE"/>
          </w:tcPr>
          <w:p>
            <w:pPr>
              <w:ind w:left="20"/>
              <w:spacing w:after="0"/>
              <w:rPr>
                <w:sz w:val="20"/>
                <w:szCs w:val="20"/>
                <w:color w:val="auto"/>
              </w:rPr>
            </w:pPr>
            <w:r>
              <w:rPr>
                <w:rFonts w:ascii="Arial" w:cs="Arial" w:eastAsia="Arial" w:hAnsi="Arial"/>
                <w:sz w:val="18"/>
                <w:szCs w:val="18"/>
                <w:color w:val="auto"/>
                <w:w w:val="99"/>
              </w:rPr>
              <w:t>Market for Registrant’s Common Equity, Related Stockholder Matters and Issuer Purchases Equity Securities.</w:t>
            </w:r>
          </w:p>
        </w:tc>
        <w:tc>
          <w:tcPr>
            <w:tcW w:w="1660" w:type="dxa"/>
            <w:vAlign w:val="bottom"/>
            <w:shd w:val="clear" w:color="auto" w:fill="EEEEEE"/>
          </w:tcPr>
          <w:p>
            <w:pPr>
              <w:jc w:val="center"/>
              <w:ind w:left="43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Item 7.</w:t>
            </w:r>
          </w:p>
        </w:tc>
        <w:tc>
          <w:tcPr>
            <w:tcW w:w="8740" w:type="dxa"/>
            <w:vAlign w:val="bottom"/>
            <w:shd w:val="clear" w:color="auto" w:fill="EEEEEE"/>
          </w:tcPr>
          <w:p>
            <w:pPr>
              <w:ind w:left="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660" w:type="dxa"/>
            <w:vAlign w:val="bottom"/>
            <w:shd w:val="clear" w:color="auto" w:fill="EEEEEE"/>
          </w:tcPr>
          <w:p>
            <w:pPr>
              <w:jc w:val="center"/>
              <w:ind w:left="43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Item 8.</w:t>
            </w:r>
          </w:p>
        </w:tc>
        <w:tc>
          <w:tcPr>
            <w:tcW w:w="8740" w:type="dxa"/>
            <w:vAlign w:val="bottom"/>
            <w:shd w:val="clear" w:color="auto" w:fill="EEEEEE"/>
          </w:tcPr>
          <w:p>
            <w:pPr>
              <w:ind w:left="20"/>
              <w:spacing w:after="0"/>
              <w:rPr>
                <w:sz w:val="20"/>
                <w:szCs w:val="20"/>
                <w:color w:val="auto"/>
              </w:rPr>
            </w:pPr>
            <w:r>
              <w:rPr>
                <w:rFonts w:ascii="Arial" w:cs="Arial" w:eastAsia="Arial" w:hAnsi="Arial"/>
                <w:sz w:val="18"/>
                <w:szCs w:val="18"/>
                <w:color w:val="auto"/>
              </w:rPr>
              <w:t>Financial Statements and Supplementary Data.</w:t>
            </w:r>
          </w:p>
        </w:tc>
        <w:tc>
          <w:tcPr>
            <w:tcW w:w="1660" w:type="dxa"/>
            <w:vAlign w:val="bottom"/>
            <w:shd w:val="clear" w:color="auto" w:fill="EEEEEE"/>
          </w:tcPr>
          <w:p>
            <w:pPr>
              <w:jc w:val="center"/>
              <w:ind w:left="43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ind w:left="340"/>
              <w:spacing w:after="0"/>
              <w:rPr>
                <w:sz w:val="20"/>
                <w:szCs w:val="20"/>
                <w:color w:val="auto"/>
              </w:rPr>
            </w:pPr>
            <w:r>
              <w:rPr>
                <w:rFonts w:ascii="Arial" w:cs="Arial" w:eastAsia="Arial" w:hAnsi="Arial"/>
                <w:sz w:val="18"/>
                <w:szCs w:val="18"/>
                <w:color w:val="auto"/>
              </w:rPr>
              <w:t>Item 9.</w:t>
            </w:r>
          </w:p>
        </w:tc>
        <w:tc>
          <w:tcPr>
            <w:tcW w:w="8740" w:type="dxa"/>
            <w:vAlign w:val="bottom"/>
            <w:shd w:val="clear" w:color="auto" w:fill="EEEEEE"/>
          </w:tcPr>
          <w:p>
            <w:pPr>
              <w:ind w:left="2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660" w:type="dxa"/>
            <w:vAlign w:val="bottom"/>
            <w:shd w:val="clear" w:color="auto" w:fill="EEEEEE"/>
          </w:tcPr>
          <w:p>
            <w:pPr>
              <w:jc w:val="center"/>
              <w:ind w:left="43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ind w:left="340"/>
              <w:spacing w:after="0"/>
              <w:rPr>
                <w:sz w:val="20"/>
                <w:szCs w:val="20"/>
                <w:color w:val="auto"/>
              </w:rPr>
            </w:pPr>
            <w:r>
              <w:rPr>
                <w:rFonts w:ascii="Arial" w:cs="Arial" w:eastAsia="Arial" w:hAnsi="Arial"/>
                <w:sz w:val="18"/>
                <w:szCs w:val="18"/>
                <w:color w:val="auto"/>
                <w:w w:val="95"/>
              </w:rPr>
              <w:t>Item 9A.</w:t>
            </w:r>
          </w:p>
        </w:tc>
        <w:tc>
          <w:tcPr>
            <w:tcW w:w="8740" w:type="dxa"/>
            <w:vAlign w:val="bottom"/>
            <w:shd w:val="clear" w:color="auto" w:fill="EEEEEE"/>
          </w:tcPr>
          <w:p>
            <w:pPr>
              <w:ind w:left="20"/>
              <w:spacing w:after="0"/>
              <w:rPr>
                <w:sz w:val="20"/>
                <w:szCs w:val="20"/>
                <w:color w:val="auto"/>
              </w:rPr>
            </w:pPr>
            <w:r>
              <w:rPr>
                <w:rFonts w:ascii="Arial" w:cs="Arial" w:eastAsia="Arial" w:hAnsi="Arial"/>
                <w:sz w:val="18"/>
                <w:szCs w:val="18"/>
                <w:color w:val="auto"/>
              </w:rPr>
              <w:t>Controls and Procedures.</w:t>
            </w:r>
          </w:p>
        </w:tc>
        <w:tc>
          <w:tcPr>
            <w:tcW w:w="1660" w:type="dxa"/>
            <w:vAlign w:val="bottom"/>
            <w:shd w:val="clear" w:color="auto" w:fill="EEEEEE"/>
          </w:tcPr>
          <w:p>
            <w:pPr>
              <w:jc w:val="center"/>
              <w:ind w:left="43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ind w:left="340"/>
              <w:spacing w:after="0"/>
              <w:rPr>
                <w:sz w:val="20"/>
                <w:szCs w:val="20"/>
                <w:color w:val="auto"/>
              </w:rPr>
            </w:pPr>
            <w:r>
              <w:rPr>
                <w:rFonts w:ascii="Arial" w:cs="Arial" w:eastAsia="Arial" w:hAnsi="Arial"/>
                <w:sz w:val="18"/>
                <w:szCs w:val="18"/>
                <w:color w:val="auto"/>
                <w:w w:val="95"/>
              </w:rPr>
              <w:t>Item 9B.</w:t>
            </w:r>
          </w:p>
        </w:tc>
        <w:tc>
          <w:tcPr>
            <w:tcW w:w="8740" w:type="dxa"/>
            <w:vAlign w:val="bottom"/>
            <w:shd w:val="clear" w:color="auto" w:fill="EEEEEE"/>
          </w:tcPr>
          <w:p>
            <w:pPr>
              <w:ind w:left="20"/>
              <w:spacing w:after="0"/>
              <w:rPr>
                <w:sz w:val="20"/>
                <w:szCs w:val="20"/>
                <w:color w:val="auto"/>
              </w:rPr>
            </w:pPr>
            <w:r>
              <w:rPr>
                <w:rFonts w:ascii="Arial" w:cs="Arial" w:eastAsia="Arial" w:hAnsi="Arial"/>
                <w:sz w:val="18"/>
                <w:szCs w:val="18"/>
                <w:color w:val="auto"/>
              </w:rPr>
              <w:t>Other Information.</w:t>
            </w:r>
          </w:p>
        </w:tc>
        <w:tc>
          <w:tcPr>
            <w:tcW w:w="1660" w:type="dxa"/>
            <w:vAlign w:val="bottom"/>
            <w:shd w:val="clear" w:color="auto" w:fill="EEEEEE"/>
          </w:tcPr>
          <w:p>
            <w:pPr>
              <w:jc w:val="center"/>
              <w:ind w:left="430"/>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PART III</w:t>
            </w:r>
          </w:p>
        </w:tc>
        <w:tc>
          <w:tcPr>
            <w:tcW w:w="8740" w:type="dxa"/>
            <w:vAlign w:val="bottom"/>
            <w:shd w:val="clear" w:color="auto" w:fill="EEEEEE"/>
          </w:tcPr>
          <w:p>
            <w:pPr>
              <w:spacing w:after="0"/>
              <w:rPr>
                <w:sz w:val="18"/>
                <w:szCs w:val="18"/>
                <w:color w:val="auto"/>
              </w:rPr>
            </w:pPr>
          </w:p>
        </w:tc>
        <w:tc>
          <w:tcPr>
            <w:tcW w:w="1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ind w:left="340"/>
              <w:spacing w:after="0"/>
              <w:rPr>
                <w:sz w:val="20"/>
                <w:szCs w:val="20"/>
                <w:color w:val="auto"/>
              </w:rPr>
            </w:pPr>
            <w:r>
              <w:rPr>
                <w:rFonts w:ascii="Arial" w:cs="Arial" w:eastAsia="Arial" w:hAnsi="Arial"/>
                <w:sz w:val="18"/>
                <w:szCs w:val="18"/>
                <w:color w:val="auto"/>
                <w:w w:val="98"/>
              </w:rPr>
              <w:t>Item 10.</w:t>
            </w:r>
          </w:p>
        </w:tc>
        <w:tc>
          <w:tcPr>
            <w:tcW w:w="8740" w:type="dxa"/>
            <w:vAlign w:val="bottom"/>
            <w:shd w:val="clear" w:color="auto" w:fill="EEEEEE"/>
          </w:tcPr>
          <w:p>
            <w:pPr>
              <w:ind w:left="20"/>
              <w:spacing w:after="0"/>
              <w:rPr>
                <w:sz w:val="20"/>
                <w:szCs w:val="20"/>
                <w:color w:val="auto"/>
              </w:rPr>
            </w:pPr>
            <w:r>
              <w:rPr>
                <w:rFonts w:ascii="Arial" w:cs="Arial" w:eastAsia="Arial" w:hAnsi="Arial"/>
                <w:sz w:val="18"/>
                <w:szCs w:val="18"/>
                <w:color w:val="auto"/>
              </w:rPr>
              <w:t>Directors, Executive Officers and Corporate Governance.</w:t>
            </w:r>
          </w:p>
        </w:tc>
        <w:tc>
          <w:tcPr>
            <w:tcW w:w="1660" w:type="dxa"/>
            <w:vAlign w:val="bottom"/>
            <w:shd w:val="clear" w:color="auto" w:fill="EEEEEE"/>
          </w:tcPr>
          <w:p>
            <w:pPr>
              <w:jc w:val="center"/>
              <w:ind w:left="430"/>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ind w:left="340"/>
              <w:spacing w:after="0"/>
              <w:rPr>
                <w:sz w:val="20"/>
                <w:szCs w:val="20"/>
                <w:color w:val="auto"/>
              </w:rPr>
            </w:pPr>
            <w:r>
              <w:rPr>
                <w:rFonts w:ascii="Arial" w:cs="Arial" w:eastAsia="Arial" w:hAnsi="Arial"/>
                <w:sz w:val="18"/>
                <w:szCs w:val="18"/>
                <w:color w:val="auto"/>
                <w:w w:val="98"/>
              </w:rPr>
              <w:t>Item 11.</w:t>
            </w:r>
          </w:p>
        </w:tc>
        <w:tc>
          <w:tcPr>
            <w:tcW w:w="8740" w:type="dxa"/>
            <w:vAlign w:val="bottom"/>
            <w:shd w:val="clear" w:color="auto" w:fill="EEEEEE"/>
          </w:tcPr>
          <w:p>
            <w:pPr>
              <w:ind w:left="20"/>
              <w:spacing w:after="0"/>
              <w:rPr>
                <w:sz w:val="20"/>
                <w:szCs w:val="20"/>
                <w:color w:val="auto"/>
              </w:rPr>
            </w:pPr>
            <w:r>
              <w:rPr>
                <w:rFonts w:ascii="Arial" w:cs="Arial" w:eastAsia="Arial" w:hAnsi="Arial"/>
                <w:sz w:val="18"/>
                <w:szCs w:val="18"/>
                <w:color w:val="auto"/>
              </w:rPr>
              <w:t>Executive Compensation.</w:t>
            </w:r>
          </w:p>
        </w:tc>
        <w:tc>
          <w:tcPr>
            <w:tcW w:w="1660" w:type="dxa"/>
            <w:vAlign w:val="bottom"/>
            <w:shd w:val="clear" w:color="auto" w:fill="EEEEEE"/>
          </w:tcPr>
          <w:p>
            <w:pPr>
              <w:jc w:val="center"/>
              <w:ind w:left="43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ind w:left="340"/>
              <w:spacing w:after="0"/>
              <w:rPr>
                <w:sz w:val="20"/>
                <w:szCs w:val="20"/>
                <w:color w:val="auto"/>
              </w:rPr>
            </w:pPr>
            <w:r>
              <w:rPr>
                <w:rFonts w:ascii="Arial" w:cs="Arial" w:eastAsia="Arial" w:hAnsi="Arial"/>
                <w:sz w:val="18"/>
                <w:szCs w:val="18"/>
                <w:color w:val="auto"/>
                <w:w w:val="98"/>
              </w:rPr>
              <w:t>Item 12.</w:t>
            </w:r>
          </w:p>
        </w:tc>
        <w:tc>
          <w:tcPr>
            <w:tcW w:w="8740" w:type="dxa"/>
            <w:vAlign w:val="bottom"/>
            <w:shd w:val="clear" w:color="auto" w:fill="EEEEEE"/>
          </w:tcPr>
          <w:p>
            <w:pPr>
              <w:ind w:left="2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660" w:type="dxa"/>
            <w:vAlign w:val="bottom"/>
            <w:shd w:val="clear" w:color="auto" w:fill="EEEEEE"/>
          </w:tcPr>
          <w:p>
            <w:pPr>
              <w:jc w:val="center"/>
              <w:ind w:left="43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ind w:left="340"/>
              <w:spacing w:after="0"/>
              <w:rPr>
                <w:sz w:val="20"/>
                <w:szCs w:val="20"/>
                <w:color w:val="auto"/>
              </w:rPr>
            </w:pPr>
            <w:r>
              <w:rPr>
                <w:rFonts w:ascii="Arial" w:cs="Arial" w:eastAsia="Arial" w:hAnsi="Arial"/>
                <w:sz w:val="18"/>
                <w:szCs w:val="18"/>
                <w:color w:val="auto"/>
                <w:w w:val="98"/>
              </w:rPr>
              <w:t>Item 13.</w:t>
            </w:r>
          </w:p>
        </w:tc>
        <w:tc>
          <w:tcPr>
            <w:tcW w:w="8740" w:type="dxa"/>
            <w:vAlign w:val="bottom"/>
            <w:shd w:val="clear" w:color="auto" w:fill="EEEEEE"/>
          </w:tcPr>
          <w:p>
            <w:pPr>
              <w:ind w:left="2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660" w:type="dxa"/>
            <w:vAlign w:val="bottom"/>
            <w:shd w:val="clear" w:color="auto" w:fill="EEEEEE"/>
          </w:tcPr>
          <w:p>
            <w:pPr>
              <w:jc w:val="center"/>
              <w:ind w:left="43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EEEEEE"/>
          </w:tcPr>
          <w:p>
            <w:pPr>
              <w:ind w:left="340"/>
              <w:spacing w:after="0"/>
              <w:rPr>
                <w:sz w:val="20"/>
                <w:szCs w:val="20"/>
                <w:color w:val="auto"/>
              </w:rPr>
            </w:pPr>
            <w:r>
              <w:rPr>
                <w:rFonts w:ascii="Arial" w:cs="Arial" w:eastAsia="Arial" w:hAnsi="Arial"/>
                <w:sz w:val="18"/>
                <w:szCs w:val="18"/>
                <w:color w:val="auto"/>
                <w:w w:val="98"/>
              </w:rPr>
              <w:t>Item 14.</w:t>
            </w:r>
          </w:p>
        </w:tc>
        <w:tc>
          <w:tcPr>
            <w:tcW w:w="8740" w:type="dxa"/>
            <w:vAlign w:val="bottom"/>
            <w:shd w:val="clear" w:color="auto" w:fill="EEEEEE"/>
          </w:tcPr>
          <w:p>
            <w:pPr>
              <w:ind w:left="20"/>
              <w:spacing w:after="0"/>
              <w:rPr>
                <w:sz w:val="20"/>
                <w:szCs w:val="20"/>
                <w:color w:val="auto"/>
              </w:rPr>
            </w:pPr>
            <w:r>
              <w:rPr>
                <w:rFonts w:ascii="Arial" w:cs="Arial" w:eastAsia="Arial" w:hAnsi="Arial"/>
                <w:sz w:val="18"/>
                <w:szCs w:val="18"/>
                <w:color w:val="auto"/>
              </w:rPr>
              <w:t>Principal Accounting Fees and Services.</w:t>
            </w:r>
          </w:p>
        </w:tc>
        <w:tc>
          <w:tcPr>
            <w:tcW w:w="1660" w:type="dxa"/>
            <w:vAlign w:val="bottom"/>
            <w:shd w:val="clear" w:color="auto" w:fill="EEEEEE"/>
          </w:tcPr>
          <w:p>
            <w:pPr>
              <w:jc w:val="center"/>
              <w:ind w:left="43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87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EEEEEE"/>
          </w:tcPr>
          <w:p>
            <w:pPr>
              <w:spacing w:after="0"/>
              <w:rPr>
                <w:sz w:val="20"/>
                <w:szCs w:val="20"/>
                <w:color w:val="auto"/>
              </w:rPr>
            </w:pPr>
            <w:r>
              <w:rPr>
                <w:rFonts w:ascii="Arial" w:cs="Arial" w:eastAsia="Arial" w:hAnsi="Arial"/>
                <w:sz w:val="18"/>
                <w:szCs w:val="18"/>
                <w:color w:val="auto"/>
              </w:rPr>
              <w:t>PART IV</w:t>
            </w:r>
          </w:p>
        </w:tc>
        <w:tc>
          <w:tcPr>
            <w:tcW w:w="8740" w:type="dxa"/>
            <w:vAlign w:val="bottom"/>
            <w:shd w:val="clear" w:color="auto" w:fill="EEEEEE"/>
          </w:tcPr>
          <w:p>
            <w:pPr>
              <w:spacing w:after="0"/>
              <w:rPr>
                <w:sz w:val="18"/>
                <w:szCs w:val="18"/>
                <w:color w:val="auto"/>
              </w:rPr>
            </w:pPr>
          </w:p>
        </w:tc>
        <w:tc>
          <w:tcPr>
            <w:tcW w:w="1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gridSpan w:val="2"/>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40" w:type="dxa"/>
            <w:vAlign w:val="bottom"/>
            <w:gridSpan w:val="2"/>
            <w:shd w:val="clear" w:color="auto" w:fill="EEEEEE"/>
          </w:tcPr>
          <w:p>
            <w:pPr>
              <w:ind w:left="340"/>
              <w:spacing w:after="0"/>
              <w:rPr>
                <w:sz w:val="20"/>
                <w:szCs w:val="20"/>
                <w:color w:val="auto"/>
              </w:rPr>
            </w:pPr>
            <w:r>
              <w:rPr>
                <w:rFonts w:ascii="Arial" w:cs="Arial" w:eastAsia="Arial" w:hAnsi="Arial"/>
                <w:sz w:val="18"/>
                <w:szCs w:val="18"/>
                <w:color w:val="auto"/>
              </w:rPr>
              <w:t>Item 15.  Exhibits, Financial Statement Schedules.</w:t>
            </w:r>
          </w:p>
        </w:tc>
        <w:tc>
          <w:tcPr>
            <w:tcW w:w="1660" w:type="dxa"/>
            <w:vAlign w:val="bottom"/>
            <w:shd w:val="clear" w:color="auto" w:fill="EEEEEE"/>
          </w:tcPr>
          <w:p>
            <w:pPr>
              <w:jc w:val="center"/>
              <w:ind w:left="43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40" w:type="dxa"/>
            <w:vAlign w:val="bottom"/>
            <w:gridSpan w:val="2"/>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SIGNATURES</w:t>
            </w:r>
          </w:p>
        </w:tc>
        <w:tc>
          <w:tcPr>
            <w:tcW w:w="1660" w:type="dxa"/>
            <w:vAlign w:val="bottom"/>
            <w:shd w:val="clear" w:color="auto" w:fill="EEEEEE"/>
          </w:tcPr>
          <w:p>
            <w:pPr>
              <w:jc w:val="center"/>
              <w:ind w:left="430"/>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40" w:type="dxa"/>
            <w:vAlign w:val="bottom"/>
            <w:gridSpan w:val="2"/>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EXHIBIT INDEX</w:t>
            </w:r>
          </w:p>
        </w:tc>
        <w:tc>
          <w:tcPr>
            <w:tcW w:w="1660" w:type="dxa"/>
            <w:vAlign w:val="bottom"/>
            <w:shd w:val="clear" w:color="auto" w:fill="EEEEEE"/>
          </w:tcPr>
          <w:p>
            <w:pPr>
              <w:jc w:val="center"/>
              <w:ind w:left="43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40" w:type="dxa"/>
            <w:vAlign w:val="bottom"/>
            <w:gridSpan w:val="2"/>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INDEX TO FINANCIAL STATEMENTS</w:t>
            </w:r>
          </w:p>
        </w:tc>
        <w:tc>
          <w:tcPr>
            <w:tcW w:w="1660" w:type="dxa"/>
            <w:vAlign w:val="bottom"/>
            <w:shd w:val="clear" w:color="auto" w:fill="EEEEEE"/>
          </w:tcPr>
          <w:p>
            <w:pPr>
              <w:jc w:val="center"/>
              <w:ind w:left="430"/>
              <w:spacing w:after="0"/>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r>
        <w:trPr>
          <w:trHeight w:val="75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740" w:type="dxa"/>
            <w:vAlign w:val="bottom"/>
          </w:tcPr>
          <w:p>
            <w:pPr>
              <w:jc w:val="center"/>
              <w:ind w:left="550"/>
              <w:spacing w:after="0"/>
              <w:rPr>
                <w:sz w:val="20"/>
                <w:szCs w:val="20"/>
                <w:color w:val="auto"/>
              </w:rPr>
            </w:pPr>
            <w:r>
              <w:rPr>
                <w:rFonts w:ascii="Arial" w:cs="Arial" w:eastAsia="Arial" w:hAnsi="Arial"/>
                <w:sz w:val="18"/>
                <w:szCs w:val="18"/>
                <w:color w:val="auto"/>
                <w:w w:val="99"/>
              </w:rPr>
              <w:t>-3-</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874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report on Form 10-K and other reports filed by Croff Enterprises, Inc. (“Croff” or the “Company”) from time-to-time with the Securities and Exchange Commission (collectively the “Filings”) contain forward-looking statements and information that are based upon beliefs of, and information currently available to, the Company's management, as well as estimates and assumptions made by the Company's management. When used in the Filings, the words “anticipate,” “believe,” “estimate,” “expect,” “future,” “intend,” “plan” or the negative of those terms and similar expressions as they relate to the Company or the Company's management identify forward-looking statements. Such statements reflect the current view of the Company with respect to future events and are subject to risks, uncertainties, assumptions and other factors relating to the Company's industry, operations and results of operations and any businesses that may be acquired by the Company. Should one or more of those risks or uncertainties materialize, or should the underlying assumptions prove incorrect, actual results may differ significantly from those anticipated, believed, estimated, expected, intended or planned.</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Background</w:t>
      </w:r>
      <w:r>
        <w:rPr>
          <w:rFonts w:ascii="Arial" w:cs="Arial" w:eastAsia="Arial" w:hAnsi="Arial"/>
          <w:sz w:val="18"/>
          <w:szCs w:val="18"/>
          <w:color w:val="auto"/>
        </w:rPr>
        <w:t>. The Company was incorporated in Utah in 1907 under the name “Croff Mining Company.” The Company changed its name to “Croff Oil</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in 1952, and in 1996 changed its name to the present “Croff Enterprises, Inc.” The Company’s office is located at 9903 Santa Monica Boulevard, Suite 287, Beverly Hills, California. The Company does not currently maintain a website.</w:t>
      </w:r>
    </w:p>
    <w:p>
      <w:pPr>
        <w:spacing w:after="0" w:line="23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Description of Business</w:t>
      </w:r>
      <w:r>
        <w:rPr>
          <w:rFonts w:ascii="Arial" w:cs="Arial" w:eastAsia="Arial" w:hAnsi="Arial"/>
          <w:sz w:val="17"/>
          <w:szCs w:val="17"/>
          <w:color w:val="auto"/>
        </w:rPr>
        <w:t>. In December 2007, the Company transferred its oil and gas assets, related bank accounts, and all related assets and liabilities to a</w:t>
      </w:r>
      <w:r>
        <w:rPr>
          <w:rFonts w:ascii="Arial" w:cs="Arial" w:eastAsia="Arial" w:hAnsi="Arial"/>
          <w:sz w:val="17"/>
          <w:szCs w:val="17"/>
          <w:i w:val="1"/>
          <w:iCs w:val="1"/>
          <w:color w:val="auto"/>
        </w:rPr>
        <w:t xml:space="preserve"> </w:t>
      </w:r>
      <w:r>
        <w:rPr>
          <w:rFonts w:ascii="Arial" w:cs="Arial" w:eastAsia="Arial" w:hAnsi="Arial"/>
          <w:sz w:val="17"/>
          <w:szCs w:val="17"/>
          <w:color w:val="auto"/>
        </w:rPr>
        <w:t>new wholly-owned subsidiary named Croff Oil Company, Inc. (the “Spin-Off”). All shares of Croff Oil Company, Inc. were then exchanged for the Company’s outstanding Series B preferred shares and the Series B preferred shares were then cancelled. For more information regarding the Spin-Off, see “Management’s Discussion and Analysis of Financial Condition and Results of Operations - Restructure of Operations” below.</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20 years prior to 2008, the Company’s operations consisted entirely of oil and natural gas production. Due to the Spin-Off, the Company currently has no business operations or revenue source and is operating at a minimal level (although it continues to file reports required under the Securities Exchange Act of 1934). As a result, the Company is a “shell company” under the rules of the Securities and Exchange Commission (the “SEC”). The Company’s management is currently seeking opportunities for a merger or other business combination with a privately-held operating company (that will most likely not be in the energy business) on terms that may or may not be favorable to the Company's existing shareholders. For additional information regarding the Company’s current status, see “Item 7. Management’s Discussion and Analysis of Financial Condition and Results of Operations” below.</w:t>
      </w:r>
    </w:p>
    <w:p>
      <w:pPr>
        <w:spacing w:after="0" w:line="2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Employees</w:t>
      </w:r>
      <w:r>
        <w:rPr>
          <w:rFonts w:ascii="Arial" w:cs="Arial" w:eastAsia="Arial" w:hAnsi="Arial"/>
          <w:sz w:val="18"/>
          <w:szCs w:val="18"/>
          <w:color w:val="auto"/>
        </w:rPr>
        <w:t>. The Company currently has no employees, with the services of Gregory R. Woodhill (the Company’s sole officer) being provided pursuant to a</w:t>
      </w:r>
      <w:r>
        <w:rPr>
          <w:rFonts w:ascii="Arial" w:cs="Arial" w:eastAsia="Arial" w:hAnsi="Arial"/>
          <w:sz w:val="18"/>
          <w:szCs w:val="18"/>
          <w:i w:val="1"/>
          <w:iCs w:val="1"/>
          <w:color w:val="auto"/>
        </w:rPr>
        <w:t xml:space="preserve"> </w:t>
      </w:r>
      <w:r>
        <w:rPr>
          <w:rFonts w:ascii="Arial" w:cs="Arial" w:eastAsia="Arial" w:hAnsi="Arial"/>
          <w:sz w:val="18"/>
          <w:szCs w:val="18"/>
          <w:color w:val="auto"/>
        </w:rPr>
        <w:t>consulting arrangement between Mr. Woodhill and the Company. See “Item 13. Certain Relationships and Related Transactions, and Director Independence.”</w:t>
      </w:r>
    </w:p>
    <w:p>
      <w:pPr>
        <w:spacing w:after="0" w:line="23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operates out of the office of Gregory Woodhill (its sole officer) at no charge. Due to its minimal level of operations, the Company expects that this arrangement will be sufficient until such time as the Company completes a merger or other business combination , as described above in “Item 1. Business.”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 w:name="page5"/>
    <w:bookmarkEnd w:id="4"/>
    <w:p>
      <w:pPr>
        <w:spacing w:after="0"/>
        <w:tabs>
          <w:tab w:leader="none" w:pos="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is not currently a party to any legal proceedings and, to the knowledge of the Company’s management, there is no litigation threatened by or against the Company.</w:t>
      </w:r>
    </w:p>
    <w:p>
      <w:pPr>
        <w:spacing w:after="0" w:line="22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 matters were submitted to a vote of security holders during the fiscal quarter ended December 31, 2008.</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83"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 xml:space="preserve">Market Information. </w:t>
      </w:r>
      <w:r>
        <w:rPr>
          <w:rFonts w:ascii="Arial" w:cs="Arial" w:eastAsia="Arial" w:hAnsi="Arial"/>
          <w:sz w:val="17"/>
          <w:szCs w:val="17"/>
          <w:color w:val="auto"/>
        </w:rPr>
        <w:t>The Company's common stock is quoted on the OTC Bulletin Board under the symbol “COFF.” The following table sets forth the</w:t>
      </w:r>
      <w:r>
        <w:rPr>
          <w:rFonts w:ascii="Arial" w:cs="Arial" w:eastAsia="Arial" w:hAnsi="Arial"/>
          <w:sz w:val="17"/>
          <w:szCs w:val="17"/>
          <w:i w:val="1"/>
          <w:iCs w:val="1"/>
          <w:color w:val="auto"/>
        </w:rPr>
        <w:t xml:space="preserve"> </w:t>
      </w:r>
      <w:r>
        <w:rPr>
          <w:rFonts w:ascii="Arial" w:cs="Arial" w:eastAsia="Arial" w:hAnsi="Arial"/>
          <w:sz w:val="17"/>
          <w:szCs w:val="17"/>
          <w:color w:val="auto"/>
        </w:rPr>
        <w:t>quarterly high and low bid prices for the common stock as reported by the OTC Bulletin Board for the fiscal years ended December 31, 2007 and 2008:</w:t>
      </w:r>
    </w:p>
    <w:p>
      <w:pPr>
        <w:spacing w:after="0" w:line="183"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3760" w:type="dxa"/>
            <w:vAlign w:val="bottom"/>
            <w:gridSpan w:val="3"/>
          </w:tcPr>
          <w:p>
            <w:pPr>
              <w:ind w:left="160"/>
              <w:spacing w:after="0"/>
              <w:rPr>
                <w:sz w:val="20"/>
                <w:szCs w:val="20"/>
                <w:color w:val="auto"/>
              </w:rPr>
            </w:pPr>
            <w:r>
              <w:rPr>
                <w:rFonts w:ascii="Arial" w:cs="Arial" w:eastAsia="Arial" w:hAnsi="Arial"/>
                <w:sz w:val="18"/>
                <w:szCs w:val="18"/>
                <w:i w:val="1"/>
                <w:iCs w:val="1"/>
                <w:color w:val="auto"/>
              </w:rPr>
              <w:t>Fiscal Year 2007</w:t>
            </w:r>
            <w:r>
              <w:rPr>
                <w:rFonts w:ascii="Arial" w:cs="Arial" w:eastAsia="Arial" w:hAnsi="Arial"/>
                <w:sz w:val="18"/>
                <w:szCs w:val="18"/>
                <w:color w:val="auto"/>
              </w:rPr>
              <w:t>:</w:t>
            </w:r>
          </w:p>
        </w:tc>
        <w:tc>
          <w:tcPr>
            <w:tcW w:w="3500" w:type="dxa"/>
            <w:vAlign w:val="bottom"/>
            <w:gridSpan w:val="3"/>
          </w:tcPr>
          <w:p>
            <w:pPr>
              <w:ind w:left="2340"/>
              <w:spacing w:after="0"/>
              <w:rPr>
                <w:sz w:val="20"/>
                <w:szCs w:val="20"/>
                <w:color w:val="auto"/>
              </w:rPr>
            </w:pPr>
            <w:r>
              <w:rPr>
                <w:rFonts w:ascii="Arial" w:cs="Arial" w:eastAsia="Arial" w:hAnsi="Arial"/>
                <w:sz w:val="18"/>
                <w:szCs w:val="18"/>
                <w:i w:val="1"/>
                <w:iCs w:val="1"/>
                <w:color w:val="auto"/>
              </w:rPr>
              <w:t>High*</w:t>
            </w:r>
          </w:p>
        </w:tc>
        <w:tc>
          <w:tcPr>
            <w:tcW w:w="1860" w:type="dxa"/>
            <w:vAlign w:val="bottom"/>
            <w:gridSpan w:val="3"/>
          </w:tcPr>
          <w:p>
            <w:pPr>
              <w:ind w:left="720"/>
              <w:spacing w:after="0"/>
              <w:rPr>
                <w:sz w:val="20"/>
                <w:szCs w:val="20"/>
                <w:color w:val="auto"/>
              </w:rPr>
            </w:pPr>
            <w:r>
              <w:rPr>
                <w:rFonts w:ascii="Arial" w:cs="Arial" w:eastAsia="Arial" w:hAnsi="Arial"/>
                <w:sz w:val="18"/>
                <w:szCs w:val="18"/>
                <w:i w:val="1"/>
                <w:iCs w:val="1"/>
                <w:color w:val="auto"/>
              </w:rPr>
              <w:t>Low*</w:t>
            </w:r>
          </w:p>
        </w:tc>
      </w:tr>
      <w:tr>
        <w:trPr>
          <w:trHeight w:val="21"/>
        </w:trPr>
        <w:tc>
          <w:tcPr>
            <w:tcW w:w="16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6"/>
        </w:trPr>
        <w:tc>
          <w:tcPr>
            <w:tcW w:w="3760" w:type="dxa"/>
            <w:vAlign w:val="bottom"/>
            <w:gridSpan w:val="3"/>
            <w:shd w:val="clear" w:color="auto" w:fill="EEEEEE"/>
          </w:tcPr>
          <w:p>
            <w:pPr>
              <w:ind w:left="160"/>
              <w:spacing w:after="0"/>
              <w:rPr>
                <w:sz w:val="20"/>
                <w:szCs w:val="20"/>
                <w:color w:val="auto"/>
              </w:rPr>
            </w:pPr>
            <w:r>
              <w:rPr>
                <w:rFonts w:ascii="Arial" w:cs="Arial" w:eastAsia="Arial" w:hAnsi="Arial"/>
                <w:sz w:val="18"/>
                <w:szCs w:val="18"/>
                <w:color w:val="auto"/>
              </w:rPr>
              <w:t>First Quarter</w:t>
            </w:r>
          </w:p>
        </w:tc>
        <w:tc>
          <w:tcPr>
            <w:tcW w:w="2780" w:type="dxa"/>
            <w:vAlign w:val="bottom"/>
            <w:gridSpan w:val="2"/>
            <w:shd w:val="clear" w:color="auto" w:fill="EEEEEE"/>
          </w:tcPr>
          <w:p>
            <w:pPr>
              <w:ind w:left="2360"/>
              <w:spacing w:after="0"/>
              <w:rPr>
                <w:sz w:val="20"/>
                <w:szCs w:val="20"/>
                <w:color w:val="auto"/>
              </w:rPr>
            </w:pPr>
            <w:r>
              <w:rPr>
                <w:rFonts w:ascii="Arial" w:cs="Arial" w:eastAsia="Arial" w:hAnsi="Arial"/>
                <w:sz w:val="18"/>
                <w:szCs w:val="18"/>
                <w:color w:val="auto"/>
                <w:w w:val="88"/>
              </w:rPr>
              <w:t>$3.00</w:t>
            </w:r>
          </w:p>
        </w:tc>
        <w:tc>
          <w:tcPr>
            <w:tcW w:w="720" w:type="dxa"/>
            <w:vAlign w:val="bottom"/>
            <w:shd w:val="clear" w:color="auto" w:fill="EEEEEE"/>
          </w:tcPr>
          <w:p>
            <w:pPr>
              <w:spacing w:after="0"/>
              <w:rPr>
                <w:sz w:val="18"/>
                <w:szCs w:val="18"/>
                <w:color w:val="auto"/>
              </w:rPr>
            </w:pPr>
          </w:p>
        </w:tc>
        <w:tc>
          <w:tcPr>
            <w:tcW w:w="1860" w:type="dxa"/>
            <w:vAlign w:val="bottom"/>
            <w:gridSpan w:val="3"/>
            <w:shd w:val="clear" w:color="auto" w:fill="EEEEEE"/>
          </w:tcPr>
          <w:p>
            <w:pPr>
              <w:ind w:left="720"/>
              <w:spacing w:after="0"/>
              <w:rPr>
                <w:sz w:val="20"/>
                <w:szCs w:val="20"/>
                <w:color w:val="auto"/>
              </w:rPr>
            </w:pPr>
            <w:r>
              <w:rPr>
                <w:rFonts w:ascii="Arial" w:cs="Arial" w:eastAsia="Arial" w:hAnsi="Arial"/>
                <w:sz w:val="18"/>
                <w:szCs w:val="18"/>
                <w:color w:val="auto"/>
              </w:rPr>
              <w:t>$1.75</w:t>
            </w:r>
          </w:p>
        </w:tc>
      </w:tr>
      <w:tr>
        <w:trPr>
          <w:trHeight w:val="216"/>
        </w:trPr>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760" w:type="dxa"/>
            <w:vAlign w:val="bottom"/>
            <w:gridSpan w:val="3"/>
            <w:shd w:val="clear" w:color="auto" w:fill="EEEEEE"/>
          </w:tcPr>
          <w:p>
            <w:pPr>
              <w:ind w:left="160"/>
              <w:spacing w:after="0"/>
              <w:rPr>
                <w:sz w:val="20"/>
                <w:szCs w:val="20"/>
                <w:color w:val="auto"/>
              </w:rPr>
            </w:pPr>
            <w:r>
              <w:rPr>
                <w:rFonts w:ascii="Arial" w:cs="Arial" w:eastAsia="Arial" w:hAnsi="Arial"/>
                <w:sz w:val="18"/>
                <w:szCs w:val="18"/>
                <w:color w:val="auto"/>
              </w:rPr>
              <w:t>Second Quarter</w:t>
            </w:r>
          </w:p>
        </w:tc>
        <w:tc>
          <w:tcPr>
            <w:tcW w:w="2780" w:type="dxa"/>
            <w:vAlign w:val="bottom"/>
            <w:gridSpan w:val="2"/>
            <w:shd w:val="clear" w:color="auto" w:fill="EEEEEE"/>
          </w:tcPr>
          <w:p>
            <w:pPr>
              <w:ind w:left="2360"/>
              <w:spacing w:after="0"/>
              <w:rPr>
                <w:sz w:val="20"/>
                <w:szCs w:val="20"/>
                <w:color w:val="auto"/>
              </w:rPr>
            </w:pPr>
            <w:r>
              <w:rPr>
                <w:rFonts w:ascii="Arial" w:cs="Arial" w:eastAsia="Arial" w:hAnsi="Arial"/>
                <w:sz w:val="18"/>
                <w:szCs w:val="18"/>
                <w:color w:val="auto"/>
                <w:w w:val="88"/>
              </w:rPr>
              <w:t>$2.75</w:t>
            </w:r>
          </w:p>
        </w:tc>
        <w:tc>
          <w:tcPr>
            <w:tcW w:w="720" w:type="dxa"/>
            <w:vAlign w:val="bottom"/>
            <w:shd w:val="clear" w:color="auto" w:fill="EEEEEE"/>
          </w:tcPr>
          <w:p>
            <w:pPr>
              <w:spacing w:after="0"/>
              <w:rPr>
                <w:sz w:val="18"/>
                <w:szCs w:val="18"/>
                <w:color w:val="auto"/>
              </w:rPr>
            </w:pPr>
          </w:p>
        </w:tc>
        <w:tc>
          <w:tcPr>
            <w:tcW w:w="1860" w:type="dxa"/>
            <w:vAlign w:val="bottom"/>
            <w:gridSpan w:val="3"/>
            <w:shd w:val="clear" w:color="auto" w:fill="EEEEEE"/>
          </w:tcPr>
          <w:p>
            <w:pPr>
              <w:ind w:left="720"/>
              <w:spacing w:after="0"/>
              <w:rPr>
                <w:sz w:val="20"/>
                <w:szCs w:val="20"/>
                <w:color w:val="auto"/>
              </w:rPr>
            </w:pPr>
            <w:r>
              <w:rPr>
                <w:rFonts w:ascii="Arial" w:cs="Arial" w:eastAsia="Arial" w:hAnsi="Arial"/>
                <w:sz w:val="18"/>
                <w:szCs w:val="18"/>
                <w:color w:val="auto"/>
              </w:rPr>
              <w:t>$2.00</w:t>
            </w:r>
          </w:p>
        </w:tc>
      </w:tr>
      <w:tr>
        <w:trPr>
          <w:trHeight w:val="216"/>
        </w:trPr>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760" w:type="dxa"/>
            <w:vAlign w:val="bottom"/>
            <w:gridSpan w:val="3"/>
            <w:shd w:val="clear" w:color="auto" w:fill="EEEEEE"/>
          </w:tcPr>
          <w:p>
            <w:pPr>
              <w:ind w:left="160"/>
              <w:spacing w:after="0"/>
              <w:rPr>
                <w:sz w:val="20"/>
                <w:szCs w:val="20"/>
                <w:color w:val="auto"/>
              </w:rPr>
            </w:pPr>
            <w:r>
              <w:rPr>
                <w:rFonts w:ascii="Arial" w:cs="Arial" w:eastAsia="Arial" w:hAnsi="Arial"/>
                <w:sz w:val="18"/>
                <w:szCs w:val="18"/>
                <w:color w:val="auto"/>
              </w:rPr>
              <w:t>Third Quarter</w:t>
            </w:r>
          </w:p>
        </w:tc>
        <w:tc>
          <w:tcPr>
            <w:tcW w:w="2780" w:type="dxa"/>
            <w:vAlign w:val="bottom"/>
            <w:gridSpan w:val="2"/>
            <w:shd w:val="clear" w:color="auto" w:fill="EEEEEE"/>
          </w:tcPr>
          <w:p>
            <w:pPr>
              <w:ind w:left="2360"/>
              <w:spacing w:after="0"/>
              <w:rPr>
                <w:sz w:val="20"/>
                <w:szCs w:val="20"/>
                <w:color w:val="auto"/>
              </w:rPr>
            </w:pPr>
            <w:r>
              <w:rPr>
                <w:rFonts w:ascii="Arial" w:cs="Arial" w:eastAsia="Arial" w:hAnsi="Arial"/>
                <w:sz w:val="18"/>
                <w:szCs w:val="18"/>
                <w:color w:val="auto"/>
                <w:w w:val="88"/>
              </w:rPr>
              <w:t>$2.50</w:t>
            </w:r>
          </w:p>
        </w:tc>
        <w:tc>
          <w:tcPr>
            <w:tcW w:w="720" w:type="dxa"/>
            <w:vAlign w:val="bottom"/>
            <w:shd w:val="clear" w:color="auto" w:fill="EEEEEE"/>
          </w:tcPr>
          <w:p>
            <w:pPr>
              <w:spacing w:after="0"/>
              <w:rPr>
                <w:sz w:val="18"/>
                <w:szCs w:val="18"/>
                <w:color w:val="auto"/>
              </w:rPr>
            </w:pPr>
          </w:p>
        </w:tc>
        <w:tc>
          <w:tcPr>
            <w:tcW w:w="1860" w:type="dxa"/>
            <w:vAlign w:val="bottom"/>
            <w:gridSpan w:val="3"/>
            <w:shd w:val="clear" w:color="auto" w:fill="EEEEEE"/>
          </w:tcPr>
          <w:p>
            <w:pPr>
              <w:ind w:left="720"/>
              <w:spacing w:after="0"/>
              <w:rPr>
                <w:sz w:val="20"/>
                <w:szCs w:val="20"/>
                <w:color w:val="auto"/>
              </w:rPr>
            </w:pPr>
            <w:r>
              <w:rPr>
                <w:rFonts w:ascii="Arial" w:cs="Arial" w:eastAsia="Arial" w:hAnsi="Arial"/>
                <w:sz w:val="18"/>
                <w:szCs w:val="18"/>
                <w:color w:val="auto"/>
              </w:rPr>
              <w:t>$2.00</w:t>
            </w:r>
          </w:p>
        </w:tc>
      </w:tr>
      <w:tr>
        <w:trPr>
          <w:trHeight w:val="216"/>
        </w:trPr>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760" w:type="dxa"/>
            <w:vAlign w:val="bottom"/>
            <w:gridSpan w:val="3"/>
            <w:shd w:val="clear" w:color="auto" w:fill="EEEEEE"/>
          </w:tcPr>
          <w:p>
            <w:pPr>
              <w:ind w:left="160"/>
              <w:spacing w:after="0"/>
              <w:rPr>
                <w:sz w:val="20"/>
                <w:szCs w:val="20"/>
                <w:color w:val="auto"/>
              </w:rPr>
            </w:pPr>
            <w:r>
              <w:rPr>
                <w:rFonts w:ascii="Arial" w:cs="Arial" w:eastAsia="Arial" w:hAnsi="Arial"/>
                <w:sz w:val="18"/>
                <w:szCs w:val="18"/>
                <w:color w:val="auto"/>
              </w:rPr>
              <w:t>Fourth Quarter</w:t>
            </w:r>
          </w:p>
        </w:tc>
        <w:tc>
          <w:tcPr>
            <w:tcW w:w="2780" w:type="dxa"/>
            <w:vAlign w:val="bottom"/>
            <w:gridSpan w:val="2"/>
            <w:shd w:val="clear" w:color="auto" w:fill="EEEEEE"/>
          </w:tcPr>
          <w:p>
            <w:pPr>
              <w:ind w:left="2360"/>
              <w:spacing w:after="0"/>
              <w:rPr>
                <w:sz w:val="20"/>
                <w:szCs w:val="20"/>
                <w:color w:val="auto"/>
              </w:rPr>
            </w:pPr>
            <w:r>
              <w:rPr>
                <w:rFonts w:ascii="Arial" w:cs="Arial" w:eastAsia="Arial" w:hAnsi="Arial"/>
                <w:sz w:val="18"/>
                <w:szCs w:val="18"/>
                <w:color w:val="auto"/>
                <w:w w:val="88"/>
              </w:rPr>
              <w:t>$1.75</w:t>
            </w:r>
          </w:p>
        </w:tc>
        <w:tc>
          <w:tcPr>
            <w:tcW w:w="720" w:type="dxa"/>
            <w:vAlign w:val="bottom"/>
            <w:shd w:val="clear" w:color="auto" w:fill="EEEEEE"/>
          </w:tcPr>
          <w:p>
            <w:pPr>
              <w:spacing w:after="0"/>
              <w:rPr>
                <w:sz w:val="18"/>
                <w:szCs w:val="18"/>
                <w:color w:val="auto"/>
              </w:rPr>
            </w:pPr>
          </w:p>
        </w:tc>
        <w:tc>
          <w:tcPr>
            <w:tcW w:w="1860" w:type="dxa"/>
            <w:vAlign w:val="bottom"/>
            <w:gridSpan w:val="3"/>
            <w:shd w:val="clear" w:color="auto" w:fill="EEEEEE"/>
          </w:tcPr>
          <w:p>
            <w:pPr>
              <w:ind w:left="720"/>
              <w:spacing w:after="0"/>
              <w:rPr>
                <w:sz w:val="20"/>
                <w:szCs w:val="20"/>
                <w:color w:val="auto"/>
              </w:rPr>
            </w:pPr>
            <w:r>
              <w:rPr>
                <w:rFonts w:ascii="Arial" w:cs="Arial" w:eastAsia="Arial" w:hAnsi="Arial"/>
                <w:sz w:val="18"/>
                <w:szCs w:val="18"/>
                <w:color w:val="auto"/>
              </w:rPr>
              <w:t>$1.00</w:t>
            </w:r>
          </w:p>
        </w:tc>
      </w:tr>
      <w:tr>
        <w:trPr>
          <w:trHeight w:val="608"/>
        </w:trPr>
        <w:tc>
          <w:tcPr>
            <w:tcW w:w="3760" w:type="dxa"/>
            <w:vAlign w:val="bottom"/>
            <w:gridSpan w:val="3"/>
          </w:tcPr>
          <w:p>
            <w:pPr>
              <w:ind w:left="160"/>
              <w:spacing w:after="0"/>
              <w:rPr>
                <w:sz w:val="20"/>
                <w:szCs w:val="20"/>
                <w:color w:val="auto"/>
              </w:rPr>
            </w:pPr>
            <w:r>
              <w:rPr>
                <w:rFonts w:ascii="Arial" w:cs="Arial" w:eastAsia="Arial" w:hAnsi="Arial"/>
                <w:sz w:val="18"/>
                <w:szCs w:val="18"/>
                <w:i w:val="1"/>
                <w:iCs w:val="1"/>
                <w:color w:val="auto"/>
              </w:rPr>
              <w:t>Fiscal Year 2008</w:t>
            </w:r>
            <w:r>
              <w:rPr>
                <w:rFonts w:ascii="Arial" w:cs="Arial" w:eastAsia="Arial" w:hAnsi="Arial"/>
                <w:sz w:val="18"/>
                <w:szCs w:val="18"/>
                <w:color w:val="auto"/>
              </w:rPr>
              <w:t>:</w:t>
            </w:r>
          </w:p>
        </w:tc>
        <w:tc>
          <w:tcPr>
            <w:tcW w:w="2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
        </w:trPr>
        <w:tc>
          <w:tcPr>
            <w:tcW w:w="16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16"/>
        </w:trPr>
        <w:tc>
          <w:tcPr>
            <w:tcW w:w="3760" w:type="dxa"/>
            <w:vAlign w:val="bottom"/>
            <w:gridSpan w:val="3"/>
            <w:shd w:val="clear" w:color="auto" w:fill="EEEEEE"/>
          </w:tcPr>
          <w:p>
            <w:pPr>
              <w:ind w:left="160"/>
              <w:spacing w:after="0"/>
              <w:rPr>
                <w:sz w:val="20"/>
                <w:szCs w:val="20"/>
                <w:color w:val="auto"/>
              </w:rPr>
            </w:pPr>
            <w:r>
              <w:rPr>
                <w:rFonts w:ascii="Arial" w:cs="Arial" w:eastAsia="Arial" w:hAnsi="Arial"/>
                <w:sz w:val="18"/>
                <w:szCs w:val="18"/>
                <w:color w:val="auto"/>
              </w:rPr>
              <w:t>First Quarter</w:t>
            </w:r>
          </w:p>
        </w:tc>
        <w:tc>
          <w:tcPr>
            <w:tcW w:w="2780" w:type="dxa"/>
            <w:vAlign w:val="bottom"/>
            <w:gridSpan w:val="2"/>
            <w:shd w:val="clear" w:color="auto" w:fill="EEEEEE"/>
          </w:tcPr>
          <w:p>
            <w:pPr>
              <w:ind w:left="2360"/>
              <w:spacing w:after="0"/>
              <w:rPr>
                <w:sz w:val="20"/>
                <w:szCs w:val="20"/>
                <w:color w:val="auto"/>
              </w:rPr>
            </w:pPr>
            <w:r>
              <w:rPr>
                <w:rFonts w:ascii="Arial" w:cs="Arial" w:eastAsia="Arial" w:hAnsi="Arial"/>
                <w:sz w:val="18"/>
                <w:szCs w:val="18"/>
                <w:color w:val="auto"/>
                <w:w w:val="88"/>
              </w:rPr>
              <w:t>$1.01</w:t>
            </w:r>
          </w:p>
        </w:tc>
        <w:tc>
          <w:tcPr>
            <w:tcW w:w="720" w:type="dxa"/>
            <w:vAlign w:val="bottom"/>
            <w:shd w:val="clear" w:color="auto" w:fill="EEEEEE"/>
          </w:tcPr>
          <w:p>
            <w:pPr>
              <w:spacing w:after="0"/>
              <w:rPr>
                <w:sz w:val="18"/>
                <w:szCs w:val="18"/>
                <w:color w:val="auto"/>
              </w:rPr>
            </w:pPr>
          </w:p>
        </w:tc>
        <w:tc>
          <w:tcPr>
            <w:tcW w:w="1860" w:type="dxa"/>
            <w:vAlign w:val="bottom"/>
            <w:gridSpan w:val="3"/>
            <w:shd w:val="clear" w:color="auto" w:fill="EEEEEE"/>
          </w:tcPr>
          <w:p>
            <w:pPr>
              <w:ind w:left="720"/>
              <w:spacing w:after="0"/>
              <w:rPr>
                <w:sz w:val="20"/>
                <w:szCs w:val="20"/>
                <w:color w:val="auto"/>
              </w:rPr>
            </w:pPr>
            <w:r>
              <w:rPr>
                <w:rFonts w:ascii="Arial" w:cs="Arial" w:eastAsia="Arial" w:hAnsi="Arial"/>
                <w:sz w:val="18"/>
                <w:szCs w:val="18"/>
                <w:color w:val="auto"/>
              </w:rPr>
              <w:t>$0.51</w:t>
            </w:r>
          </w:p>
        </w:tc>
      </w:tr>
      <w:tr>
        <w:trPr>
          <w:trHeight w:val="216"/>
        </w:trPr>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760" w:type="dxa"/>
            <w:vAlign w:val="bottom"/>
            <w:gridSpan w:val="3"/>
            <w:shd w:val="clear" w:color="auto" w:fill="EEEEEE"/>
          </w:tcPr>
          <w:p>
            <w:pPr>
              <w:ind w:left="160"/>
              <w:spacing w:after="0"/>
              <w:rPr>
                <w:sz w:val="20"/>
                <w:szCs w:val="20"/>
                <w:color w:val="auto"/>
              </w:rPr>
            </w:pPr>
            <w:r>
              <w:rPr>
                <w:rFonts w:ascii="Arial" w:cs="Arial" w:eastAsia="Arial" w:hAnsi="Arial"/>
                <w:sz w:val="18"/>
                <w:szCs w:val="18"/>
                <w:color w:val="auto"/>
              </w:rPr>
              <w:t>Second Quarter</w:t>
            </w:r>
          </w:p>
        </w:tc>
        <w:tc>
          <w:tcPr>
            <w:tcW w:w="2780" w:type="dxa"/>
            <w:vAlign w:val="bottom"/>
            <w:gridSpan w:val="2"/>
            <w:shd w:val="clear" w:color="auto" w:fill="EEEEEE"/>
          </w:tcPr>
          <w:p>
            <w:pPr>
              <w:ind w:left="2360"/>
              <w:spacing w:after="0"/>
              <w:rPr>
                <w:sz w:val="20"/>
                <w:szCs w:val="20"/>
                <w:color w:val="auto"/>
              </w:rPr>
            </w:pPr>
            <w:r>
              <w:rPr>
                <w:rFonts w:ascii="Arial" w:cs="Arial" w:eastAsia="Arial" w:hAnsi="Arial"/>
                <w:sz w:val="18"/>
                <w:szCs w:val="18"/>
                <w:color w:val="auto"/>
                <w:w w:val="88"/>
              </w:rPr>
              <w:t>$2.00</w:t>
            </w:r>
          </w:p>
        </w:tc>
        <w:tc>
          <w:tcPr>
            <w:tcW w:w="720" w:type="dxa"/>
            <w:vAlign w:val="bottom"/>
            <w:shd w:val="clear" w:color="auto" w:fill="EEEEEE"/>
          </w:tcPr>
          <w:p>
            <w:pPr>
              <w:spacing w:after="0"/>
              <w:rPr>
                <w:sz w:val="18"/>
                <w:szCs w:val="18"/>
                <w:color w:val="auto"/>
              </w:rPr>
            </w:pPr>
          </w:p>
        </w:tc>
        <w:tc>
          <w:tcPr>
            <w:tcW w:w="1860" w:type="dxa"/>
            <w:vAlign w:val="bottom"/>
            <w:gridSpan w:val="3"/>
            <w:shd w:val="clear" w:color="auto" w:fill="EEEEEE"/>
          </w:tcPr>
          <w:p>
            <w:pPr>
              <w:ind w:left="720"/>
              <w:spacing w:after="0"/>
              <w:rPr>
                <w:sz w:val="20"/>
                <w:szCs w:val="20"/>
                <w:color w:val="auto"/>
              </w:rPr>
            </w:pPr>
            <w:r>
              <w:rPr>
                <w:rFonts w:ascii="Arial" w:cs="Arial" w:eastAsia="Arial" w:hAnsi="Arial"/>
                <w:sz w:val="18"/>
                <w:szCs w:val="18"/>
                <w:color w:val="auto"/>
              </w:rPr>
              <w:t>$0.51</w:t>
            </w:r>
          </w:p>
        </w:tc>
      </w:tr>
      <w:tr>
        <w:trPr>
          <w:trHeight w:val="216"/>
        </w:trPr>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760" w:type="dxa"/>
            <w:vAlign w:val="bottom"/>
            <w:gridSpan w:val="3"/>
            <w:shd w:val="clear" w:color="auto" w:fill="EEEEEE"/>
          </w:tcPr>
          <w:p>
            <w:pPr>
              <w:ind w:left="160"/>
              <w:spacing w:after="0"/>
              <w:rPr>
                <w:sz w:val="20"/>
                <w:szCs w:val="20"/>
                <w:color w:val="auto"/>
              </w:rPr>
            </w:pPr>
            <w:r>
              <w:rPr>
                <w:rFonts w:ascii="Arial" w:cs="Arial" w:eastAsia="Arial" w:hAnsi="Arial"/>
                <w:sz w:val="18"/>
                <w:szCs w:val="18"/>
                <w:color w:val="auto"/>
              </w:rPr>
              <w:t>Third Quarter</w:t>
            </w:r>
          </w:p>
        </w:tc>
        <w:tc>
          <w:tcPr>
            <w:tcW w:w="2780" w:type="dxa"/>
            <w:vAlign w:val="bottom"/>
            <w:gridSpan w:val="2"/>
            <w:shd w:val="clear" w:color="auto" w:fill="EEEEEE"/>
          </w:tcPr>
          <w:p>
            <w:pPr>
              <w:ind w:left="2360"/>
              <w:spacing w:after="0"/>
              <w:rPr>
                <w:sz w:val="20"/>
                <w:szCs w:val="20"/>
                <w:color w:val="auto"/>
              </w:rPr>
            </w:pPr>
            <w:r>
              <w:rPr>
                <w:rFonts w:ascii="Arial" w:cs="Arial" w:eastAsia="Arial" w:hAnsi="Arial"/>
                <w:sz w:val="18"/>
                <w:szCs w:val="18"/>
                <w:color w:val="auto"/>
                <w:w w:val="88"/>
              </w:rPr>
              <w:t>$2.00</w:t>
            </w:r>
          </w:p>
        </w:tc>
        <w:tc>
          <w:tcPr>
            <w:tcW w:w="720" w:type="dxa"/>
            <w:vAlign w:val="bottom"/>
            <w:shd w:val="clear" w:color="auto" w:fill="EEEEEE"/>
          </w:tcPr>
          <w:p>
            <w:pPr>
              <w:spacing w:after="0"/>
              <w:rPr>
                <w:sz w:val="18"/>
                <w:szCs w:val="18"/>
                <w:color w:val="auto"/>
              </w:rPr>
            </w:pPr>
          </w:p>
        </w:tc>
        <w:tc>
          <w:tcPr>
            <w:tcW w:w="1860" w:type="dxa"/>
            <w:vAlign w:val="bottom"/>
            <w:gridSpan w:val="3"/>
            <w:shd w:val="clear" w:color="auto" w:fill="EEEEEE"/>
          </w:tcPr>
          <w:p>
            <w:pPr>
              <w:ind w:left="720"/>
              <w:spacing w:after="0"/>
              <w:rPr>
                <w:sz w:val="20"/>
                <w:szCs w:val="20"/>
                <w:color w:val="auto"/>
              </w:rPr>
            </w:pPr>
            <w:r>
              <w:rPr>
                <w:rFonts w:ascii="Arial" w:cs="Arial" w:eastAsia="Arial" w:hAnsi="Arial"/>
                <w:sz w:val="18"/>
                <w:szCs w:val="18"/>
                <w:color w:val="auto"/>
              </w:rPr>
              <w:t>$1.50</w:t>
            </w:r>
          </w:p>
        </w:tc>
      </w:tr>
      <w:tr>
        <w:trPr>
          <w:trHeight w:val="216"/>
        </w:trPr>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760" w:type="dxa"/>
            <w:vAlign w:val="bottom"/>
            <w:gridSpan w:val="3"/>
            <w:shd w:val="clear" w:color="auto" w:fill="EEEEEE"/>
          </w:tcPr>
          <w:p>
            <w:pPr>
              <w:ind w:left="160"/>
              <w:spacing w:after="0"/>
              <w:rPr>
                <w:sz w:val="20"/>
                <w:szCs w:val="20"/>
                <w:color w:val="auto"/>
              </w:rPr>
            </w:pPr>
            <w:r>
              <w:rPr>
                <w:rFonts w:ascii="Arial" w:cs="Arial" w:eastAsia="Arial" w:hAnsi="Arial"/>
                <w:sz w:val="18"/>
                <w:szCs w:val="18"/>
                <w:color w:val="auto"/>
              </w:rPr>
              <w:t>Fourth Quarter</w:t>
            </w:r>
          </w:p>
        </w:tc>
        <w:tc>
          <w:tcPr>
            <w:tcW w:w="2780" w:type="dxa"/>
            <w:vAlign w:val="bottom"/>
            <w:gridSpan w:val="2"/>
            <w:shd w:val="clear" w:color="auto" w:fill="EEEEEE"/>
          </w:tcPr>
          <w:p>
            <w:pPr>
              <w:ind w:left="2360"/>
              <w:spacing w:after="0"/>
              <w:rPr>
                <w:sz w:val="20"/>
                <w:szCs w:val="20"/>
                <w:color w:val="auto"/>
              </w:rPr>
            </w:pPr>
            <w:r>
              <w:rPr>
                <w:rFonts w:ascii="Arial" w:cs="Arial" w:eastAsia="Arial" w:hAnsi="Arial"/>
                <w:sz w:val="18"/>
                <w:szCs w:val="18"/>
                <w:color w:val="auto"/>
                <w:w w:val="88"/>
              </w:rPr>
              <w:t>$1.50</w:t>
            </w:r>
          </w:p>
        </w:tc>
        <w:tc>
          <w:tcPr>
            <w:tcW w:w="720" w:type="dxa"/>
            <w:vAlign w:val="bottom"/>
            <w:shd w:val="clear" w:color="auto" w:fill="EEEEEE"/>
          </w:tcPr>
          <w:p>
            <w:pPr>
              <w:spacing w:after="0"/>
              <w:rPr>
                <w:sz w:val="18"/>
                <w:szCs w:val="18"/>
                <w:color w:val="auto"/>
              </w:rPr>
            </w:pPr>
          </w:p>
        </w:tc>
        <w:tc>
          <w:tcPr>
            <w:tcW w:w="1860" w:type="dxa"/>
            <w:vAlign w:val="bottom"/>
            <w:gridSpan w:val="3"/>
            <w:shd w:val="clear" w:color="auto" w:fill="EEEEEE"/>
          </w:tcPr>
          <w:p>
            <w:pPr>
              <w:ind w:left="720"/>
              <w:spacing w:after="0"/>
              <w:rPr>
                <w:sz w:val="20"/>
                <w:szCs w:val="20"/>
                <w:color w:val="auto"/>
              </w:rPr>
            </w:pPr>
            <w:r>
              <w:rPr>
                <w:rFonts w:ascii="Arial" w:cs="Arial" w:eastAsia="Arial" w:hAnsi="Arial"/>
                <w:sz w:val="18"/>
                <w:szCs w:val="18"/>
                <w:color w:val="auto"/>
              </w:rPr>
              <w:t>$1.50</w:t>
            </w:r>
          </w:p>
        </w:tc>
      </w:tr>
    </w:tbl>
    <w:p>
      <w:pPr>
        <w:spacing w:after="0"/>
        <w:rPr>
          <w:sz w:val="20"/>
          <w:szCs w:val="20"/>
          <w:color w:val="auto"/>
        </w:rPr>
      </w:pPr>
      <w:r>
        <w:rPr>
          <w:rFonts w:ascii="Arial" w:cs="Arial" w:eastAsia="Arial" w:hAnsi="Arial"/>
          <w:sz w:val="18"/>
          <w:szCs w:val="18"/>
          <w:color w:val="auto"/>
        </w:rPr>
        <w:t>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These quotations reflect inter-dealer prices, without retail mark-up, mark-down or commission, and may not represent actual transactions.</w:t>
      </w:r>
    </w:p>
    <w:p>
      <w:pPr>
        <w:spacing w:after="0" w:line="2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The Company declared and paid a special dividend of $0.40 per share of common stock to all shareholders of record as of June 10,</w:t>
      </w:r>
      <w:r>
        <w:rPr>
          <w:rFonts w:ascii="Arial" w:cs="Arial" w:eastAsia="Arial" w:hAnsi="Arial"/>
          <w:sz w:val="18"/>
          <w:szCs w:val="18"/>
          <w:i w:val="1"/>
          <w:iCs w:val="1"/>
          <w:color w:val="auto"/>
        </w:rPr>
        <w:t xml:space="preserve"> </w:t>
      </w:r>
      <w:r>
        <w:rPr>
          <w:rFonts w:ascii="Arial" w:cs="Arial" w:eastAsia="Arial" w:hAnsi="Arial"/>
          <w:sz w:val="18"/>
          <w:szCs w:val="18"/>
          <w:color w:val="auto"/>
        </w:rPr>
        <w:t>2008. The Company anticipates that, for the foreseeable future, any earnings will be retained for use in its operations.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Holders of Record</w:t>
      </w:r>
      <w:r>
        <w:rPr>
          <w:rFonts w:ascii="Arial" w:cs="Arial" w:eastAsia="Arial" w:hAnsi="Arial"/>
          <w:sz w:val="18"/>
          <w:szCs w:val="18"/>
          <w:color w:val="auto"/>
        </w:rPr>
        <w:t>. As of March 16, 2009 (the latest practicable date), there were 1,016 holders of record of the Company’s common stock.</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Purchases of Equity Securities by the Issuer and Affiliated Purchasers. </w:t>
      </w:r>
      <w:r>
        <w:rPr>
          <w:rFonts w:ascii="Arial" w:cs="Arial" w:eastAsia="Arial" w:hAnsi="Arial"/>
          <w:sz w:val="18"/>
          <w:szCs w:val="18"/>
          <w:color w:val="auto"/>
        </w:rPr>
        <w:t>No securities of the Company were purchased by it or any affiliated purchasers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fiscal quarter ended December 31, 2008.</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Overview</w:t>
      </w:r>
      <w:r>
        <w:rPr>
          <w:rFonts w:ascii="Arial" w:cs="Arial" w:eastAsia="Arial" w:hAnsi="Arial"/>
          <w:sz w:val="17"/>
          <w:szCs w:val="17"/>
          <w:color w:val="auto"/>
        </w:rPr>
        <w:t>. Due to the Spin-Off (as described in more detail below), the Company currently has no business operations or revenue source and has reduced its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to a minimal level (although it continues to file reports required under the Securities Exchange Act of 1934). As a result, the Company is a “shell company” under the rules of the SEC. As of December 31, 2008, the Company had available cash and cash equivalents of $54,419, which it believes will provide funding for its minimal operations until approximately December 31, 2009. During that period, it is expected that the Company’s management will continue to pursue opportunities for a merger or other business combination with a privately-held operating company (on terms that may or may not be favorable to the Company's existing shareholders). Should the Company exhaust its available funds before a merger or other business combination is completed and be unable to obtain additional funds from the sale of debt or equity securities and/or other financing sources (again on terms that may or may not be favorable to the Company's existing shareholders), it is expected that the Company will be required to discontinue operations entirely, seek protection under federal bankruptcy laws, or both.</w:t>
      </w:r>
    </w:p>
    <w:p>
      <w:pPr>
        <w:spacing w:after="0" w:line="23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Restructure of Operations</w:t>
      </w:r>
      <w:r>
        <w:rPr>
          <w:rFonts w:ascii="Arial" w:cs="Arial" w:eastAsia="Arial" w:hAnsi="Arial"/>
          <w:sz w:val="17"/>
          <w:szCs w:val="17"/>
          <w:color w:val="auto"/>
        </w:rPr>
        <w:t>. In December 2007, Croff transferred its oil and gas assets, related bank accounts, and all related assets and liabilities to a new</w:t>
      </w:r>
      <w:r>
        <w:rPr>
          <w:rFonts w:ascii="Arial" w:cs="Arial" w:eastAsia="Arial" w:hAnsi="Arial"/>
          <w:sz w:val="17"/>
          <w:szCs w:val="17"/>
          <w:i w:val="1"/>
          <w:iCs w:val="1"/>
          <w:color w:val="auto"/>
        </w:rPr>
        <w:t xml:space="preserve"> </w:t>
      </w:r>
      <w:r>
        <w:rPr>
          <w:rFonts w:ascii="Arial" w:cs="Arial" w:eastAsia="Arial" w:hAnsi="Arial"/>
          <w:sz w:val="17"/>
          <w:szCs w:val="17"/>
          <w:color w:val="auto"/>
        </w:rPr>
        <w:t>wholly-owned subsidiary named Croff Oil Company, Inc. All shares of Croff Oil Company, Inc. were then exchanged for Croff’s outstanding Series B preferred shares and the Series B preferred shares were then cancelled. All of Croff’s oil and gas assets, including perpetual mineral interests, had been pledged to its Series B preferred shareholders at the creation of the Series B preferred class in 1996. Upon creation in 1996, all shareholders of Croff were issued an equivalent number of shares of Series B preferred stock, while keeping their common stock.</w:t>
      </w:r>
    </w:p>
    <w:p>
      <w:pPr>
        <w:spacing w:after="0" w:line="2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Spin-Off occurred approximately three years after Croff’s Board of Directors had determined to review its strategic alternatives with a view to obtain more liquidity for the Croff’s two classes of stock and to increase the value to its shareholders. In the first quarter of 2005, the Board of Directors believed the combined value of $2.30 for a common share plus a Series B preferred share did not reflect the total value of Croff. Therefore, in the fourth quarter of 2007, the Board of Directors set the value of a combined Series B preferred share and a common share at $5.25, allowing shareholders to receive this cash buyout. Under the Utah Dissenting Shareholder’s Rights Act, Croff’s common and Series B preferred shareholders had the option to receive cash in exchange for their shares. Common shares were redeemed at $1.00 per share and Series B preferred shares were redeemed at $4.25 per share. If a shareholder did not approve of the price, the shareholder was able to propose a different price with justification. Pursuant to the buyout, 24,030 common shares of Croff were redeemed at $1.00 per share, and an additional 10,415 common shares were redeemed at various prices from $1.00 to $2.70 per share. In addition, 35,930 shares of Series B preferred stock were redeemed, all for the $4.25 per share price. As a result of shareholders exercising their rights, the number of outstanding common shares was reduced from 551,244 to 516,799 by September 30, 2007.</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On December 31, 2008, the Company had assets of $54,419, current assets of $54,419, and current liabilities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$35,722. On December 31, 2007, the Company had assets of $495,364, current assets of $408,634, and current liabilities of $77,826. During the fiscal year ended December 31, 2008, net cash used by operations totaled $133,003, as compared to cash provided by operations of $344,098 during the fiscal year ended December 31, 2007. All of those changes are due to the Spin-Off, which left the Company with no business operations or revenue source in 2008. The Company had no short-term or long-term debt outstanding at December 31, 2008. During the fiscal year ended December 31, 2008, the Company purchased 33,245 shares of its common stock at a cost of $46,570.</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ind w:right="120"/>
        <w:spacing w:after="0" w:line="259" w:lineRule="auto"/>
        <w:rPr>
          <w:sz w:val="20"/>
          <w:szCs w:val="20"/>
          <w:color w:val="auto"/>
        </w:rPr>
      </w:pPr>
      <w:r>
        <w:rPr>
          <w:rFonts w:ascii="Arial" w:cs="Arial" w:eastAsia="Arial" w:hAnsi="Arial"/>
          <w:sz w:val="18"/>
          <w:szCs w:val="18"/>
          <w:color w:val="auto"/>
        </w:rPr>
        <w:t>The financial statements referenced below in “Item 8. Financial Statements and Supplementary Data” have been prepared assuming that the Company will continue as a going concern. As discussed in Note 1 to “Notes to Financial Statements” (page F-7), the Company has suffered a loss from operations in 2008 that raises substantial doubt about its ability to continue as a going concern. The financial statements do not include any adjustments that might result from the outcome of this uncertainty.</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Results of Operations</w:t>
      </w:r>
      <w:r>
        <w:rPr>
          <w:rFonts w:ascii="Arial" w:cs="Arial" w:eastAsia="Arial" w:hAnsi="Arial"/>
          <w:sz w:val="18"/>
          <w:szCs w:val="18"/>
          <w:color w:val="auto"/>
        </w:rPr>
        <w:t>. The Company experienced a net loss of $395,553 for the fiscal year ended December 31, 2008, compared to net income of $170,542</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prior fiscal year. As a result of the Spin-Off, there was no income in the fiscal year ended December 31, 2008, while there were oil revenues in the prior fiscal year. For the fiscal year ended December 31, 2008, expenses totaled $395,553, compared to $93,743 for the fiscal year ended December 31,2007. The increase is attributable to expenses relating to the Spin-Off, additional accounting and legal costs, and consulting fees (non-cash compensation). Provision for income taxes for the fiscal year ended December 31, 2008, was zero, compared to $110,000 for fiscal 2007. The decrease is attributable to the net loss for fiscal 2008.</w:t>
      </w:r>
    </w:p>
    <w:p>
      <w:pPr>
        <w:spacing w:after="0" w:line="2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Results of Discontinued Operations</w:t>
      </w:r>
      <w:r>
        <w:rPr>
          <w:rFonts w:ascii="Arial" w:cs="Arial" w:eastAsia="Arial" w:hAnsi="Arial"/>
          <w:sz w:val="18"/>
          <w:szCs w:val="18"/>
          <w:color w:val="auto"/>
        </w:rPr>
        <w:t>. Due to the Spin-Off, income from discontinued operations for the fiscal year ended December 31, 2008, was zero,</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$221,543 for the prior fiscal year. Also due to the Spin-Off, interest income decreased to zero during the fiscal year ended December 31, 2008, from $42,740 during the prior fiscal year.</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Recent Accounting Pronouncements. </w:t>
      </w:r>
      <w:r>
        <w:rPr>
          <w:rFonts w:ascii="Arial" w:cs="Arial" w:eastAsia="Arial" w:hAnsi="Arial"/>
          <w:sz w:val="18"/>
          <w:szCs w:val="18"/>
          <w:color w:val="auto"/>
        </w:rPr>
        <w:t>For a description of recent accounting pronouncements, see Note 2 in the “Notes to Financial Statements” referenced</w:t>
      </w:r>
      <w:r>
        <w:rPr>
          <w:rFonts w:ascii="Arial" w:cs="Arial" w:eastAsia="Arial" w:hAnsi="Arial"/>
          <w:sz w:val="18"/>
          <w:szCs w:val="18"/>
          <w:i w:val="1"/>
          <w:iCs w:val="1"/>
          <w:color w:val="auto"/>
        </w:rPr>
        <w:t xml:space="preserve"> </w:t>
      </w:r>
      <w:r>
        <w:rPr>
          <w:rFonts w:ascii="Arial" w:cs="Arial" w:eastAsia="Arial" w:hAnsi="Arial"/>
          <w:sz w:val="18"/>
          <w:szCs w:val="18"/>
          <w:color w:val="auto"/>
        </w:rPr>
        <w:t>below in “Item 8. Financial Statements and Supplementary Data.”</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8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Reference is made to the Index to Financial Statements on page F-1 for a listing of the Company’s financial statements and notes thereto included with this report on Form 10-K.</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had no change in accountants during its last two fiscal years.</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Evaluation of Disclosure Controls and Procedures</w:t>
      </w:r>
      <w:r>
        <w:rPr>
          <w:rFonts w:ascii="Arial" w:cs="Arial" w:eastAsia="Arial" w:hAnsi="Arial"/>
          <w:sz w:val="18"/>
          <w:szCs w:val="18"/>
          <w:color w:val="auto"/>
        </w:rPr>
        <w:t>. The Company maintains controls and procedures designed to ensure that information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disclosed in its filings with the SEC is recorded, processed, summarized and reported within the time periods required by the SEC. As of December 31, 2008, the Company’s Chief Executive Officer, who is also the Company’s Chief Financial Officer, evaluated the effectiveness of the design and operation of the Company’s disclosure controls and procedures. Based on that evaluation, the Company’s Chief Executive Officer and Chief Financial Officer concluded that, as of the end of the fiscal year ended December 31, 2008, the Company’s disclosure controls and procedures are effective in alerting him to material information that is required to be included its SEC filings.</w:t>
      </w:r>
    </w:p>
    <w:p>
      <w:pPr>
        <w:spacing w:after="0" w:line="2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Management’s Annual Report on Internal Control over Financial Reporting. </w:t>
      </w:r>
      <w:r>
        <w:rPr>
          <w:rFonts w:ascii="Arial" w:cs="Arial" w:eastAsia="Arial" w:hAnsi="Arial"/>
          <w:sz w:val="17"/>
          <w:szCs w:val="17"/>
          <w:color w:val="auto"/>
        </w:rPr>
        <w:t>The Company’s management is responsible for establishing and maintaining</w:t>
      </w:r>
      <w:r>
        <w:rPr>
          <w:rFonts w:ascii="Arial" w:cs="Arial" w:eastAsia="Arial" w:hAnsi="Arial"/>
          <w:sz w:val="17"/>
          <w:szCs w:val="17"/>
          <w:i w:val="1"/>
          <w:iCs w:val="1"/>
          <w:color w:val="auto"/>
        </w:rPr>
        <w:t xml:space="preserve"> </w:t>
      </w:r>
      <w:r>
        <w:rPr>
          <w:rFonts w:ascii="Arial" w:cs="Arial" w:eastAsia="Arial" w:hAnsi="Arial"/>
          <w:sz w:val="17"/>
          <w:szCs w:val="17"/>
          <w:color w:val="auto"/>
        </w:rPr>
        <w:t>adequate internal control over financial reporting. The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its management and (iii) provide reasonable assurance regarding prevention or timely detection of unauthorized acquisition, use, or disposition of the Company’s assets that could have a material effect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There have been no changes in the Company’s internal control over financial reporting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fiscal quarter ended December 31, 2008, that have materially affected, or are reasonably likely to materially affect, the Company’s internal control over financial reporting.</w:t>
      </w:r>
    </w:p>
    <w:p>
      <w:pPr>
        <w:spacing w:after="0" w:line="23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During the fiscal quarter ended December 31, 2008, there was no information required to be disclosed in a report on Form 8-K that was not so reported.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Directors and Executive Officers. </w:t>
      </w:r>
      <w:r>
        <w:rPr>
          <w:rFonts w:ascii="Arial" w:cs="Arial" w:eastAsia="Arial" w:hAnsi="Arial"/>
          <w:sz w:val="16"/>
          <w:szCs w:val="16"/>
          <w:color w:val="auto"/>
        </w:rPr>
        <w:t>Set forth below is information regarding the directors and sole officer of the Company. The Company has no employees.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200" w:type="dxa"/>
            <w:vAlign w:val="bottom"/>
          </w:tcPr>
          <w:p>
            <w:pPr>
              <w:spacing w:after="0"/>
              <w:rPr>
                <w:sz w:val="20"/>
                <w:szCs w:val="20"/>
                <w:color w:val="auto"/>
              </w:rPr>
            </w:pPr>
          </w:p>
        </w:tc>
        <w:tc>
          <w:tcPr>
            <w:tcW w:w="2420" w:type="dxa"/>
            <w:vAlign w:val="bottom"/>
          </w:tcPr>
          <w:p>
            <w:pPr>
              <w:ind w:left="1000"/>
              <w:spacing w:after="0"/>
              <w:rPr>
                <w:sz w:val="20"/>
                <w:szCs w:val="20"/>
                <w:color w:val="auto"/>
              </w:rPr>
            </w:pPr>
            <w:r>
              <w:rPr>
                <w:rFonts w:ascii="Arial" w:cs="Arial" w:eastAsia="Arial" w:hAnsi="Arial"/>
                <w:sz w:val="18"/>
                <w:szCs w:val="18"/>
                <w:color w:val="auto"/>
              </w:rPr>
              <w:t>Name</w:t>
            </w:r>
          </w:p>
        </w:tc>
        <w:tc>
          <w:tcPr>
            <w:tcW w:w="36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3"/>
              </w:rPr>
              <w:t>Age</w:t>
            </w:r>
          </w:p>
        </w:tc>
        <w:tc>
          <w:tcPr>
            <w:tcW w:w="340" w:type="dxa"/>
            <w:vAlign w:val="bottom"/>
          </w:tcPr>
          <w:p>
            <w:pPr>
              <w:spacing w:after="0"/>
              <w:rPr>
                <w:sz w:val="20"/>
                <w:szCs w:val="20"/>
                <w:color w:val="auto"/>
              </w:rPr>
            </w:pPr>
          </w:p>
        </w:tc>
        <w:tc>
          <w:tcPr>
            <w:tcW w:w="5380" w:type="dxa"/>
            <w:vAlign w:val="bottom"/>
            <w:gridSpan w:val="2"/>
          </w:tcPr>
          <w:p>
            <w:pPr>
              <w:ind w:left="840"/>
              <w:spacing w:after="0"/>
              <w:rPr>
                <w:sz w:val="20"/>
                <w:szCs w:val="20"/>
                <w:color w:val="auto"/>
              </w:rPr>
            </w:pPr>
            <w:r>
              <w:rPr>
                <w:rFonts w:ascii="Arial" w:cs="Arial" w:eastAsia="Arial" w:hAnsi="Arial"/>
                <w:sz w:val="18"/>
                <w:szCs w:val="18"/>
                <w:color w:val="auto"/>
              </w:rPr>
              <w:t>Position(s)</w:t>
            </w:r>
          </w:p>
        </w:tc>
      </w:tr>
      <w:tr>
        <w:trPr>
          <w:trHeight w:val="216"/>
        </w:trPr>
        <w:tc>
          <w:tcPr>
            <w:tcW w:w="2200" w:type="dxa"/>
            <w:vAlign w:val="bottom"/>
            <w:shd w:val="clear" w:color="auto" w:fill="EEEEEE"/>
          </w:tcPr>
          <w:p>
            <w:pPr>
              <w:spacing w:after="0"/>
              <w:rPr>
                <w:sz w:val="18"/>
                <w:szCs w:val="18"/>
                <w:color w:val="auto"/>
              </w:rPr>
            </w:pPr>
          </w:p>
        </w:tc>
        <w:tc>
          <w:tcPr>
            <w:tcW w:w="2420" w:type="dxa"/>
            <w:vAlign w:val="bottom"/>
            <w:tcBorders>
              <w:top w:val="single" w:sz="8" w:color="auto"/>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tcBorders>
              <w:top w:val="single" w:sz="8" w:color="auto"/>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40" w:type="dxa"/>
            <w:vAlign w:val="bottom"/>
            <w:tcBorders>
              <w:top w:val="single" w:sz="8" w:color="auto"/>
            </w:tcBorders>
            <w:shd w:val="clear" w:color="auto" w:fill="EEEEEE"/>
          </w:tcPr>
          <w:p>
            <w:pPr>
              <w:spacing w:after="0"/>
              <w:rPr>
                <w:sz w:val="18"/>
                <w:szCs w:val="18"/>
                <w:color w:val="auto"/>
              </w:rPr>
            </w:pPr>
          </w:p>
        </w:tc>
        <w:tc>
          <w:tcPr>
            <w:tcW w:w="2940" w:type="dxa"/>
            <w:vAlign w:val="bottom"/>
            <w:shd w:val="clear" w:color="auto" w:fill="EEEEEE"/>
          </w:tcPr>
          <w:p>
            <w:pPr>
              <w:spacing w:after="0"/>
              <w:rPr>
                <w:sz w:val="18"/>
                <w:szCs w:val="18"/>
                <w:color w:val="auto"/>
              </w:rPr>
            </w:pPr>
          </w:p>
        </w:tc>
      </w:tr>
      <w:tr>
        <w:trPr>
          <w:trHeight w:val="202"/>
        </w:trPr>
        <w:tc>
          <w:tcPr>
            <w:tcW w:w="4620" w:type="dxa"/>
            <w:vAlign w:val="bottom"/>
            <w:gridSpan w:val="2"/>
          </w:tcPr>
          <w:p>
            <w:pPr>
              <w:ind w:left="2200"/>
              <w:spacing w:after="0" w:line="201" w:lineRule="exact"/>
              <w:rPr>
                <w:sz w:val="20"/>
                <w:szCs w:val="20"/>
                <w:color w:val="auto"/>
              </w:rPr>
            </w:pPr>
            <w:r>
              <w:rPr>
                <w:rFonts w:ascii="Arial" w:cs="Arial" w:eastAsia="Arial" w:hAnsi="Arial"/>
                <w:sz w:val="18"/>
                <w:szCs w:val="18"/>
                <w:color w:val="auto"/>
              </w:rPr>
              <w:t>Gregory R. Woodhill</w:t>
            </w:r>
          </w:p>
        </w:tc>
        <w:tc>
          <w:tcPr>
            <w:tcW w:w="1080" w:type="dxa"/>
            <w:vAlign w:val="bottom"/>
            <w:gridSpan w:val="2"/>
          </w:tcPr>
          <w:p>
            <w:pPr>
              <w:jc w:val="center"/>
              <w:ind w:left="250"/>
              <w:spacing w:after="0" w:line="201" w:lineRule="exact"/>
              <w:rPr>
                <w:sz w:val="20"/>
                <w:szCs w:val="20"/>
                <w:color w:val="auto"/>
              </w:rPr>
            </w:pPr>
            <w:r>
              <w:rPr>
                <w:rFonts w:ascii="Arial" w:cs="Arial" w:eastAsia="Arial" w:hAnsi="Arial"/>
                <w:sz w:val="18"/>
                <w:szCs w:val="18"/>
                <w:color w:val="auto"/>
                <w:w w:val="89"/>
              </w:rPr>
              <w:t>34</w:t>
            </w:r>
          </w:p>
        </w:tc>
        <w:tc>
          <w:tcPr>
            <w:tcW w:w="572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Chief Executive Officer,</w:t>
            </w:r>
          </w:p>
        </w:tc>
      </w:tr>
      <w:tr>
        <w:trPr>
          <w:trHeight w:val="216"/>
        </w:trPr>
        <w:tc>
          <w:tcPr>
            <w:tcW w:w="22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720" w:type="dxa"/>
            <w:vAlign w:val="bottom"/>
            <w:gridSpan w:val="3"/>
          </w:tcPr>
          <w:p>
            <w:pPr>
              <w:ind w:left="340"/>
              <w:spacing w:after="0"/>
              <w:rPr>
                <w:sz w:val="20"/>
                <w:szCs w:val="20"/>
                <w:color w:val="auto"/>
              </w:rPr>
            </w:pPr>
            <w:r>
              <w:rPr>
                <w:rFonts w:ascii="Arial" w:cs="Arial" w:eastAsia="Arial" w:hAnsi="Arial"/>
                <w:sz w:val="18"/>
                <w:szCs w:val="18"/>
                <w:color w:val="auto"/>
              </w:rPr>
              <w:t>Chief Financial Officer,</w:t>
            </w:r>
          </w:p>
        </w:tc>
      </w:tr>
      <w:tr>
        <w:trPr>
          <w:trHeight w:val="230"/>
        </w:trPr>
        <w:tc>
          <w:tcPr>
            <w:tcW w:w="22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720" w:type="dxa"/>
            <w:vAlign w:val="bottom"/>
            <w:gridSpan w:val="3"/>
          </w:tcPr>
          <w:p>
            <w:pPr>
              <w:ind w:left="340"/>
              <w:spacing w:after="0"/>
              <w:rPr>
                <w:sz w:val="20"/>
                <w:szCs w:val="20"/>
                <w:color w:val="auto"/>
              </w:rPr>
            </w:pPr>
            <w:r>
              <w:rPr>
                <w:rFonts w:ascii="Arial" w:cs="Arial" w:eastAsia="Arial" w:hAnsi="Arial"/>
                <w:sz w:val="18"/>
                <w:szCs w:val="18"/>
                <w:color w:val="auto"/>
              </w:rPr>
              <w:t>Secretary and a Director</w:t>
            </w:r>
          </w:p>
        </w:tc>
      </w:tr>
      <w:tr>
        <w:trPr>
          <w:trHeight w:val="216"/>
        </w:trPr>
        <w:tc>
          <w:tcPr>
            <w:tcW w:w="2200" w:type="dxa"/>
            <w:vAlign w:val="bottom"/>
            <w:shd w:val="clear" w:color="auto" w:fill="EEEEEE"/>
          </w:tcPr>
          <w:p>
            <w:pPr>
              <w:spacing w:after="0"/>
              <w:rPr>
                <w:sz w:val="18"/>
                <w:szCs w:val="18"/>
                <w:color w:val="auto"/>
              </w:rPr>
            </w:pPr>
          </w:p>
        </w:tc>
        <w:tc>
          <w:tcPr>
            <w:tcW w:w="2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40" w:type="dxa"/>
            <w:vAlign w:val="bottom"/>
            <w:shd w:val="clear" w:color="auto" w:fill="EEEEEE"/>
          </w:tcPr>
          <w:p>
            <w:pPr>
              <w:spacing w:after="0"/>
              <w:rPr>
                <w:sz w:val="18"/>
                <w:szCs w:val="18"/>
                <w:color w:val="auto"/>
              </w:rPr>
            </w:pPr>
          </w:p>
        </w:tc>
        <w:tc>
          <w:tcPr>
            <w:tcW w:w="2940" w:type="dxa"/>
            <w:vAlign w:val="bottom"/>
            <w:shd w:val="clear" w:color="auto" w:fill="EEEEEE"/>
          </w:tcPr>
          <w:p>
            <w:pPr>
              <w:spacing w:after="0"/>
              <w:rPr>
                <w:sz w:val="18"/>
                <w:szCs w:val="18"/>
                <w:color w:val="auto"/>
              </w:rPr>
            </w:pPr>
          </w:p>
        </w:tc>
      </w:tr>
      <w:tr>
        <w:trPr>
          <w:trHeight w:val="216"/>
        </w:trPr>
        <w:tc>
          <w:tcPr>
            <w:tcW w:w="4620" w:type="dxa"/>
            <w:vAlign w:val="bottom"/>
            <w:gridSpan w:val="2"/>
          </w:tcPr>
          <w:p>
            <w:pPr>
              <w:ind w:left="2200"/>
              <w:spacing w:after="0"/>
              <w:rPr>
                <w:sz w:val="20"/>
                <w:szCs w:val="20"/>
                <w:color w:val="auto"/>
              </w:rPr>
            </w:pPr>
            <w:r>
              <w:rPr>
                <w:rFonts w:ascii="Arial" w:cs="Arial" w:eastAsia="Arial" w:hAnsi="Arial"/>
                <w:sz w:val="18"/>
                <w:szCs w:val="18"/>
                <w:color w:val="auto"/>
              </w:rPr>
              <w:t>Michael Chester</w:t>
            </w:r>
          </w:p>
        </w:tc>
        <w:tc>
          <w:tcPr>
            <w:tcW w:w="108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30</w:t>
            </w:r>
          </w:p>
        </w:tc>
        <w:tc>
          <w:tcPr>
            <w:tcW w:w="57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r>
      <w:tr>
        <w:trPr>
          <w:trHeight w:val="216"/>
        </w:trPr>
        <w:tc>
          <w:tcPr>
            <w:tcW w:w="2200" w:type="dxa"/>
            <w:vAlign w:val="bottom"/>
            <w:shd w:val="clear" w:color="auto" w:fill="EEEEEE"/>
          </w:tcPr>
          <w:p>
            <w:pPr>
              <w:spacing w:after="0"/>
              <w:rPr>
                <w:sz w:val="18"/>
                <w:szCs w:val="18"/>
                <w:color w:val="auto"/>
              </w:rPr>
            </w:pPr>
          </w:p>
        </w:tc>
        <w:tc>
          <w:tcPr>
            <w:tcW w:w="2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40" w:type="dxa"/>
            <w:vAlign w:val="bottom"/>
            <w:shd w:val="clear" w:color="auto" w:fill="EEEEEE"/>
          </w:tcPr>
          <w:p>
            <w:pPr>
              <w:spacing w:after="0"/>
              <w:rPr>
                <w:sz w:val="18"/>
                <w:szCs w:val="18"/>
                <w:color w:val="auto"/>
              </w:rPr>
            </w:pPr>
          </w:p>
        </w:tc>
        <w:tc>
          <w:tcPr>
            <w:tcW w:w="2940" w:type="dxa"/>
            <w:vAlign w:val="bottom"/>
            <w:shd w:val="clear" w:color="auto" w:fill="EEEEEE"/>
          </w:tcPr>
          <w:p>
            <w:pPr>
              <w:spacing w:after="0"/>
              <w:rPr>
                <w:sz w:val="18"/>
                <w:szCs w:val="18"/>
                <w:color w:val="auto"/>
              </w:rPr>
            </w:pPr>
          </w:p>
        </w:tc>
      </w:tr>
      <w:tr>
        <w:trPr>
          <w:trHeight w:val="230"/>
        </w:trPr>
        <w:tc>
          <w:tcPr>
            <w:tcW w:w="4620" w:type="dxa"/>
            <w:vAlign w:val="bottom"/>
            <w:gridSpan w:val="2"/>
          </w:tcPr>
          <w:p>
            <w:pPr>
              <w:ind w:left="2200"/>
              <w:spacing w:after="0"/>
              <w:rPr>
                <w:sz w:val="20"/>
                <w:szCs w:val="20"/>
                <w:color w:val="auto"/>
              </w:rPr>
            </w:pPr>
            <w:r>
              <w:rPr>
                <w:rFonts w:ascii="Arial" w:cs="Arial" w:eastAsia="Arial" w:hAnsi="Arial"/>
                <w:sz w:val="18"/>
                <w:szCs w:val="18"/>
                <w:color w:val="auto"/>
              </w:rPr>
              <w:t>David S. Hamilton</w:t>
            </w:r>
          </w:p>
        </w:tc>
        <w:tc>
          <w:tcPr>
            <w:tcW w:w="1080" w:type="dxa"/>
            <w:vAlign w:val="bottom"/>
            <w:gridSpan w:val="2"/>
          </w:tcPr>
          <w:p>
            <w:pPr>
              <w:jc w:val="center"/>
              <w:ind w:left="250"/>
              <w:spacing w:after="0"/>
              <w:rPr>
                <w:sz w:val="20"/>
                <w:szCs w:val="20"/>
                <w:color w:val="auto"/>
              </w:rPr>
            </w:pPr>
            <w:r>
              <w:rPr>
                <w:rFonts w:ascii="Arial" w:cs="Arial" w:eastAsia="Arial" w:hAnsi="Arial"/>
                <w:sz w:val="18"/>
                <w:szCs w:val="18"/>
                <w:color w:val="auto"/>
                <w:w w:val="89"/>
              </w:rPr>
              <w:t>53</w:t>
            </w:r>
          </w:p>
        </w:tc>
        <w:tc>
          <w:tcPr>
            <w:tcW w:w="5720" w:type="dxa"/>
            <w:vAlign w:val="bottom"/>
            <w:gridSpan w:val="3"/>
          </w:tcPr>
          <w:p>
            <w:pPr>
              <w:ind w:left="34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-1106170</wp:posOffset>
            </wp:positionV>
            <wp:extent cx="186118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61185" cy="137160"/>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-557530</wp:posOffset>
            </wp:positionV>
            <wp:extent cx="186118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6118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-1106170</wp:posOffset>
            </wp:positionV>
            <wp:extent cx="1389380" cy="1097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89380" cy="109791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-282575</wp:posOffset>
            </wp:positionV>
            <wp:extent cx="186118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61185" cy="137160"/>
                    </a:xfrm>
                    <a:prstGeom prst="rect">
                      <a:avLst/>
                    </a:prstGeom>
                    <a:noFill/>
                  </pic:spPr>
                </pic:pic>
              </a:graphicData>
            </a:graphic>
          </wp:anchor>
        </w:drawing>
      </w:r>
    </w:p>
    <w:p>
      <w:pPr>
        <w:spacing w:after="0" w:line="2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Woodhill became the Company’s Chief Executive Officer, Chief Financial Officer, Secretary and a director on June 17, 2008. He has been a sales representative and owner of R.W. Smith &amp; Co., a restaurant equipment, facilities and interior design company headquartered in San Diego, California, since April 2004. From 1999 to 2004, Mr. Woodhill served as a director and casting agent for the Thespyants Theatre Company, a theatre company based in Los Angeles, California. He received his Bachelor of Arts degree in theatre from the University of California at San Diego in 1997 and is currently obtaining his Master of Arts in Counseling Psychology at the University of Santa Monica.</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Chester became a director of the Company on June 17, 2008. He is the Director of West Coast Promotion for Island Def Jam (part of the Universal Music Group). He has served in this position since 2006 and has been responsible for the promotion and marketing of the label's artists at the top 40 radio format. From 2003 to 2006, Mr. Chester served as Director of West Coast Promotion for Atlantic Records, where he acted in a similar capacity. From 2000 to 2003, he served as a Local Promotion Manager for Arista Records in both Chicago and New York.</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Hamilton became a director of the Company on June 17, 2008. He is an attorney who has practiced law in California since 1980, maintaining a private practice in Agoura Hills, California, since 1993. Mr. Hamilton specializes in matters involving securities law, including public and private securities offerings and securities regulation compliance filings. Mr. Hamilton also practices law in the areas of business and corporate law involving a variety of industries. He received a Bachelor of Science degree in biology from the University of California at Los Angeles in 1977 and is a 1980 graduate of the Loyola University School of Law.</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jc w:val="both"/>
        <w:spacing w:after="0" w:line="282" w:lineRule="auto"/>
        <w:rPr>
          <w:sz w:val="20"/>
          <w:szCs w:val="20"/>
          <w:color w:val="auto"/>
        </w:rPr>
      </w:pPr>
      <w:r>
        <w:rPr>
          <w:rFonts w:ascii="Arial" w:cs="Arial" w:eastAsia="Arial" w:hAnsi="Arial"/>
          <w:sz w:val="16"/>
          <w:szCs w:val="16"/>
          <w:color w:val="auto"/>
        </w:rPr>
        <w:t>Subject to prior resignation or removal, each of the Company's directors serves in that capacity until the next annual meeting of stockholders or until his successor is elected or appointed and duly qualified. Officers are appointed by the Board of Directors and serve in that capacity until resignation or removal. There are no arrangements or understandings between any officer or director and any other person pursuant to which he was selected for his office or position and there are no family relationships between any of the Company’s officers and directors. Within the past five years (i) no petition under the federal bankruptcy laws or any state insolvency law has been filed by or against any officer or director, and no receiver, fiscal agent or similar officer has been appointed by a court for the business or property of such person, or any partnership in which such person was a general partner at or within the two years before the time of such filing, or any corporation or business association of which such person was an executive officer at or within the past two years; (ii) no officer or director has been convicted in a criminal proceeding (excluding traffic violations and other minor offenses); (iii) no officer or director has been the subject of any order, judgment, or decree, not subsequently reversed, suspended or vacated, of any court of competent jurisdiction, permanently or temporarily enjoining him from, or otherwise limiting, the following activities (the “Activities”): (A) acting as a futures commission merchant, introducing broker, commodity trading advisor, commodity pool operator, floor broker, leverage transaction merchant, any other person regulated by the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 (B) engaging in any type of business practice, or (C) engaging in any activity in connection with the purchase or sale of any security or commodity or in connection with any violation of federal or state securities laws or federal commodities laws; (iv) no officer or director has been the subject of any order, judgment or decree, not subsequently reversed, suspended or vacated, of any federal or state authority barring, suspending or otherwise limiting for more than 60 days the right of such person to engage in any of the Activities, or to be associated with persons engaged in any of the Activities; (v) no officer or director has been found by a court of competent jurisdiction in a civil action or by the SEC to have violated any federal or state securities law, and the judgment in such civil action or finding by the SEC has not been subsequently reversed, suspended, or vacated; and</w:t>
      </w:r>
    </w:p>
    <w:p>
      <w:pPr>
        <w:spacing w:after="0" w:line="12" w:lineRule="exact"/>
        <w:rPr>
          <w:sz w:val="20"/>
          <w:szCs w:val="20"/>
          <w:color w:val="auto"/>
        </w:rPr>
      </w:pPr>
    </w:p>
    <w:p>
      <w:pPr>
        <w:jc w:val="both"/>
        <w:ind w:firstLine="8"/>
        <w:spacing w:after="0" w:line="253" w:lineRule="auto"/>
        <w:tabs>
          <w:tab w:leader="none" w:pos="317"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officer or director has been found by a court of competent jurisdiction in a civil action or by the Commodity Futures Trading Commission to have violated any federal commodities law, and the judgment in such civil action or finding by the Commodity Futures Trading Commission has not been subsequently reversed, suspended or vacated. None of the Company’s directors holds a directorship in (i) any company with a class of securities registered pursuant to Section 12 of the Securities Exchange Act of 1934 (the “1934 Act”) or subject to the requirements of Section 15(d) of the 1934 Act or (ii) any company registered as an investment company under the Investment Company Act of 1940.</w:t>
      </w:r>
    </w:p>
    <w:p>
      <w:pPr>
        <w:spacing w:after="0" w:line="24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Section 16(a) Beneficial Ownership Reporting Compliance. </w:t>
      </w:r>
      <w:r>
        <w:rPr>
          <w:rFonts w:ascii="Arial" w:cs="Arial" w:eastAsia="Arial" w:hAnsi="Arial"/>
          <w:sz w:val="17"/>
          <w:szCs w:val="17"/>
          <w:color w:val="auto"/>
        </w:rPr>
        <w:t>During the fiscal year ended December 31, 2008, former significant beneficial shareholder</w:t>
      </w:r>
      <w:r>
        <w:rPr>
          <w:rFonts w:ascii="Arial" w:cs="Arial" w:eastAsia="Arial" w:hAnsi="Arial"/>
          <w:sz w:val="17"/>
          <w:szCs w:val="17"/>
          <w:i w:val="1"/>
          <w:iCs w:val="1"/>
          <w:color w:val="auto"/>
        </w:rPr>
        <w:t xml:space="preserve"> </w:t>
      </w:r>
      <w:r>
        <w:rPr>
          <w:rFonts w:ascii="Arial" w:cs="Arial" w:eastAsia="Arial" w:hAnsi="Arial"/>
          <w:sz w:val="17"/>
          <w:szCs w:val="17"/>
          <w:color w:val="auto"/>
        </w:rPr>
        <w:t>Jensen Development Company and former director Julian D. Jensen each failed to file on a timely basis one report on Form 4 as required by Section 16(a) of the 1934 Act (each report being late with respect to a single transaction). In addition, it appears that former officer, director and significant beneficial shareholder Gerald. L. Jensen has failed to file a report on Form 4 with respect to a transaction that occurred on June 17, 2008.</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Code of Ethics. </w:t>
      </w:r>
      <w:r>
        <w:rPr>
          <w:rFonts w:ascii="Arial" w:cs="Arial" w:eastAsia="Arial" w:hAnsi="Arial"/>
          <w:sz w:val="18"/>
          <w:szCs w:val="18"/>
          <w:color w:val="auto"/>
        </w:rPr>
        <w:t>The Company has adopted a Code of Ethics and Business Conduct that is applicable to its principal executive officer, principal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and/or controller, principal financial officer, and any persons performing similar functions. A copy of the Company’s Code of Ethics and Business Conduct is attached as an exhibit to this Form 10-K (see “Item 15. Exhibits, Financial Statement Schedules,” below) and will be provided to any person upon written request sent to the Company at 9903 Santa Monica Blvd, Suite 287, Beverly Hills, California 90212.</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Audit Committee. </w:t>
      </w:r>
      <w:r>
        <w:rPr>
          <w:rFonts w:ascii="Arial" w:cs="Arial" w:eastAsia="Arial" w:hAnsi="Arial"/>
          <w:sz w:val="18"/>
          <w:szCs w:val="18"/>
          <w:color w:val="auto"/>
        </w:rPr>
        <w:t>Croff currently has only a three-person Board of Directors, none of whom is an audit committee financial expert. Croff is currently a “shell</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(as defined by SEC rules), and so has very simple financial statements. As a result, it does not require an audit committee financial expert. The Company does not currently maintain a separate audit committee; instead, the Company’s entire Board of Directors performs any tasks required of that committee when appropriate.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spacing w:after="0"/>
        <w:tabs>
          <w:tab w:leader="none" w:pos="8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83"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i w:val="1"/>
          <w:iCs w:val="1"/>
          <w:color w:val="auto"/>
        </w:rPr>
        <w:t>Executive Compensation</w:t>
      </w:r>
      <w:r>
        <w:rPr>
          <w:rFonts w:ascii="Arial" w:cs="Arial" w:eastAsia="Arial" w:hAnsi="Arial"/>
          <w:sz w:val="16"/>
          <w:szCs w:val="16"/>
          <w:color w:val="auto"/>
        </w:rPr>
        <w:t>. The following table sets out the compensation earned during the fiscal years indicated by the persons acting as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principal executive officer during that fiscal year (the Company had no officers other than Gregory R. Woodhill at December 31, 2008):</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gridSpan w:val="2"/>
          </w:tcPr>
          <w:p>
            <w:pPr>
              <w:jc w:val="right"/>
              <w:ind w:right="137"/>
              <w:spacing w:after="0"/>
              <w:rPr>
                <w:sz w:val="20"/>
                <w:szCs w:val="20"/>
                <w:color w:val="auto"/>
              </w:rPr>
            </w:pPr>
            <w:r>
              <w:rPr>
                <w:rFonts w:ascii="Arial" w:cs="Arial" w:eastAsia="Arial" w:hAnsi="Arial"/>
                <w:sz w:val="18"/>
                <w:szCs w:val="18"/>
                <w:color w:val="auto"/>
              </w:rPr>
              <w:t>Fiscal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All Other</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280" w:type="dxa"/>
            <w:vAlign w:val="bottom"/>
            <w:gridSpan w:val="2"/>
          </w:tcPr>
          <w:p>
            <w:pPr>
              <w:spacing w:after="0"/>
              <w:rPr>
                <w:sz w:val="20"/>
                <w:szCs w:val="20"/>
                <w:color w:val="auto"/>
              </w:rPr>
            </w:pPr>
            <w:r>
              <w:rPr>
                <w:rFonts w:ascii="Arial" w:cs="Arial" w:eastAsia="Arial" w:hAnsi="Arial"/>
                <w:sz w:val="18"/>
                <w:szCs w:val="18"/>
                <w:color w:val="auto"/>
              </w:rPr>
              <w:t>Name and Principal Position</w:t>
            </w:r>
          </w:p>
        </w:tc>
        <w:tc>
          <w:tcPr>
            <w:tcW w:w="580" w:type="dxa"/>
            <w:vAlign w:val="bottom"/>
          </w:tcPr>
          <w:p>
            <w:pPr>
              <w:spacing w:after="0"/>
              <w:rPr>
                <w:sz w:val="20"/>
                <w:szCs w:val="20"/>
                <w:color w:val="auto"/>
              </w:rPr>
            </w:pPr>
          </w:p>
        </w:tc>
        <w:tc>
          <w:tcPr>
            <w:tcW w:w="800" w:type="dxa"/>
            <w:vAlign w:val="bottom"/>
            <w:gridSpan w:val="2"/>
          </w:tcPr>
          <w:p>
            <w:pPr>
              <w:jc w:val="right"/>
              <w:ind w:right="177"/>
              <w:spacing w:after="0"/>
              <w:rPr>
                <w:sz w:val="20"/>
                <w:szCs w:val="20"/>
                <w:color w:val="auto"/>
              </w:rPr>
            </w:pPr>
            <w:r>
              <w:rPr>
                <w:rFonts w:ascii="Arial" w:cs="Arial" w:eastAsia="Arial" w:hAnsi="Arial"/>
                <w:sz w:val="18"/>
                <w:szCs w:val="18"/>
                <w:color w:val="auto"/>
              </w:rPr>
              <w:t>Year</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ind w:left="80"/>
              <w:spacing w:after="0"/>
              <w:rPr>
                <w:sz w:val="20"/>
                <w:szCs w:val="20"/>
                <w:color w:val="auto"/>
              </w:rPr>
            </w:pPr>
            <w:r>
              <w:rPr>
                <w:rFonts w:ascii="Arial" w:cs="Arial" w:eastAsia="Arial" w:hAnsi="Arial"/>
                <w:sz w:val="18"/>
                <w:szCs w:val="18"/>
                <w:color w:val="auto"/>
              </w:rPr>
              <w:t>Salary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Bonus</w:t>
            </w:r>
          </w:p>
        </w:tc>
        <w:tc>
          <w:tcPr>
            <w:tcW w:w="1040" w:type="dxa"/>
            <w:vAlign w:val="bottom"/>
            <w:gridSpan w:val="2"/>
          </w:tcPr>
          <w:p>
            <w:pPr>
              <w:spacing w:after="0"/>
              <w:rPr>
                <w:sz w:val="20"/>
                <w:szCs w:val="20"/>
                <w:color w:val="auto"/>
              </w:rPr>
            </w:pPr>
            <w:r>
              <w:rPr>
                <w:rFonts w:ascii="Arial" w:cs="Arial" w:eastAsia="Arial" w:hAnsi="Arial"/>
                <w:sz w:val="18"/>
                <w:szCs w:val="18"/>
                <w:color w:val="auto"/>
                <w:w w:val="87"/>
              </w:rPr>
              <w:t>Compensation</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Gregory R. Woodhill,</w:t>
            </w:r>
          </w:p>
        </w:tc>
        <w:tc>
          <w:tcPr>
            <w:tcW w:w="1380" w:type="dxa"/>
            <w:vAlign w:val="bottom"/>
            <w:gridSpan w:val="3"/>
            <w:shd w:val="clear" w:color="auto" w:fill="EEEEEE"/>
          </w:tcPr>
          <w:p>
            <w:pPr>
              <w:jc w:val="right"/>
              <w:ind w:right="57"/>
              <w:spacing w:after="0" w:line="229" w:lineRule="exact"/>
              <w:rPr>
                <w:sz w:val="20"/>
                <w:szCs w:val="20"/>
                <w:color w:val="auto"/>
              </w:rPr>
            </w:pPr>
            <w:r>
              <w:rPr>
                <w:rFonts w:ascii="Arial" w:cs="Arial" w:eastAsia="Arial" w:hAnsi="Arial"/>
                <w:sz w:val="18"/>
                <w:szCs w:val="18"/>
                <w:color w:val="auto"/>
              </w:rPr>
              <w:t xml:space="preserve">2008 </w:t>
            </w:r>
            <w:r>
              <w:rPr>
                <w:rFonts w:ascii="Arial" w:cs="Arial" w:eastAsia="Arial" w:hAnsi="Arial"/>
                <w:sz w:val="25"/>
                <w:szCs w:val="25"/>
                <w:color w:val="auto"/>
                <w:vertAlign w:val="superscript"/>
              </w:rPr>
              <w:t>(1)</w:t>
            </w:r>
          </w:p>
        </w:tc>
        <w:tc>
          <w:tcPr>
            <w:tcW w:w="3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w:t>
            </w:r>
          </w:p>
        </w:tc>
        <w:tc>
          <w:tcPr>
            <w:tcW w:w="120" w:type="dxa"/>
            <w:vAlign w:val="bottom"/>
            <w:shd w:val="clear" w:color="auto" w:fill="EEEEEE"/>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2,500</w:t>
            </w:r>
          </w:p>
        </w:tc>
        <w:tc>
          <w:tcPr>
            <w:tcW w:w="200" w:type="dxa"/>
            <w:vAlign w:val="bottom"/>
            <w:shd w:val="clear" w:color="auto" w:fill="EEEEEE"/>
          </w:tcPr>
          <w:p>
            <w:pPr>
              <w:spacing w:after="0"/>
              <w:rPr>
                <w:sz w:val="19"/>
                <w:szCs w:val="19"/>
                <w:color w:val="auto"/>
              </w:rPr>
            </w:pPr>
          </w:p>
        </w:tc>
        <w:tc>
          <w:tcPr>
            <w:tcW w:w="2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5280" w:type="dxa"/>
            <w:vAlign w:val="bottom"/>
            <w:gridSpan w:val="2"/>
            <w:vMerge w:val="restart"/>
          </w:tcPr>
          <w:p>
            <w:pPr>
              <w:spacing w:after="0" w:line="162" w:lineRule="exact"/>
              <w:rPr>
                <w:sz w:val="20"/>
                <w:szCs w:val="20"/>
                <w:color w:val="auto"/>
              </w:rPr>
            </w:pPr>
            <w:r>
              <w:rPr>
                <w:rFonts w:ascii="Arial" w:cs="Arial" w:eastAsia="Arial" w:hAnsi="Arial"/>
                <w:sz w:val="18"/>
                <w:szCs w:val="18"/>
                <w:color w:val="auto"/>
              </w:rPr>
              <w:t>Gerald L. Jensen,</w:t>
            </w:r>
          </w:p>
        </w:tc>
        <w:tc>
          <w:tcPr>
            <w:tcW w:w="1080" w:type="dxa"/>
            <w:vAlign w:val="bottom"/>
            <w:gridSpan w:val="2"/>
            <w:vMerge w:val="restart"/>
          </w:tcPr>
          <w:p>
            <w:pPr>
              <w:jc w:val="right"/>
              <w:spacing w:after="0" w:line="162" w:lineRule="exact"/>
              <w:rPr>
                <w:sz w:val="20"/>
                <w:szCs w:val="20"/>
                <w:color w:val="auto"/>
              </w:rPr>
            </w:pPr>
            <w:r>
              <w:rPr>
                <w:rFonts w:ascii="Arial" w:cs="Arial" w:eastAsia="Arial" w:hAnsi="Arial"/>
                <w:sz w:val="18"/>
                <w:szCs w:val="18"/>
                <w:color w:val="auto"/>
              </w:rPr>
              <w:t>2008</w:t>
            </w:r>
          </w:p>
        </w:tc>
        <w:tc>
          <w:tcPr>
            <w:tcW w:w="300" w:type="dxa"/>
            <w:vAlign w:val="bottom"/>
          </w:tcPr>
          <w:p>
            <w:pPr>
              <w:jc w:val="right"/>
              <w:ind w:right="77"/>
              <w:spacing w:after="0" w:line="135" w:lineRule="exact"/>
              <w:rPr>
                <w:sz w:val="20"/>
                <w:szCs w:val="20"/>
                <w:color w:val="auto"/>
              </w:rPr>
            </w:pPr>
            <w:r>
              <w:rPr>
                <w:rFonts w:ascii="Arial" w:cs="Arial" w:eastAsia="Arial" w:hAnsi="Arial"/>
                <w:sz w:val="13"/>
                <w:szCs w:val="13"/>
                <w:color w:val="auto"/>
                <w:w w:val="87"/>
              </w:rPr>
              <w:t>(2)</w:t>
            </w:r>
          </w:p>
        </w:tc>
        <w:tc>
          <w:tcPr>
            <w:tcW w:w="360" w:type="dxa"/>
            <w:vAlign w:val="bottom"/>
            <w:gridSpan w:val="2"/>
            <w:vMerge w:val="restart"/>
          </w:tcPr>
          <w:p>
            <w:pPr>
              <w:jc w:val="right"/>
              <w:ind w:right="60"/>
              <w:spacing w:after="0" w:line="162" w:lineRule="exact"/>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00"/>
              <w:spacing w:after="0" w:line="162" w:lineRule="exact"/>
              <w:rPr>
                <w:sz w:val="20"/>
                <w:szCs w:val="20"/>
                <w:color w:val="auto"/>
              </w:rPr>
            </w:pPr>
            <w:r>
              <w:rPr>
                <w:rFonts w:ascii="Arial" w:cs="Arial" w:eastAsia="Arial" w:hAnsi="Arial"/>
                <w:sz w:val="18"/>
                <w:szCs w:val="18"/>
                <w:color w:val="auto"/>
              </w:rPr>
              <w:t>1</w:t>
            </w:r>
          </w:p>
        </w:tc>
        <w:tc>
          <w:tcPr>
            <w:tcW w:w="260" w:type="dxa"/>
            <w:vAlign w:val="bottom"/>
            <w:gridSpan w:val="2"/>
            <w:vMerge w:val="restart"/>
          </w:tcPr>
          <w:p>
            <w:pPr>
              <w:jc w:val="right"/>
              <w:ind w:right="60"/>
              <w:spacing w:after="0" w:line="162" w:lineRule="exact"/>
              <w:rPr>
                <w:sz w:val="20"/>
                <w:szCs w:val="20"/>
                <w:color w:val="auto"/>
              </w:rPr>
            </w:pPr>
            <w:r>
              <w:rPr>
                <w:rFonts w:ascii="Arial" w:cs="Arial" w:eastAsia="Arial" w:hAnsi="Arial"/>
                <w:sz w:val="18"/>
                <w:szCs w:val="18"/>
                <w:color w:val="auto"/>
              </w:rPr>
              <w:t>$</w:t>
            </w:r>
          </w:p>
        </w:tc>
        <w:tc>
          <w:tcPr>
            <w:tcW w:w="980" w:type="dxa"/>
            <w:vAlign w:val="bottom"/>
            <w:gridSpan w:val="2"/>
            <w:vMerge w:val="restart"/>
          </w:tcPr>
          <w:p>
            <w:pPr>
              <w:jc w:val="right"/>
              <w:ind w:right="220"/>
              <w:spacing w:after="0" w:line="162" w:lineRule="exact"/>
              <w:rPr>
                <w:sz w:val="20"/>
                <w:szCs w:val="20"/>
                <w:color w:val="auto"/>
              </w:rPr>
            </w:pPr>
            <w:r>
              <w:rPr>
                <w:rFonts w:ascii="Arial" w:cs="Arial" w:eastAsia="Arial" w:hAnsi="Arial"/>
                <w:sz w:val="18"/>
                <w:szCs w:val="18"/>
                <w:color w:val="auto"/>
              </w:rPr>
              <w:t>-0-</w:t>
            </w:r>
          </w:p>
        </w:tc>
        <w:tc>
          <w:tcPr>
            <w:tcW w:w="120" w:type="dxa"/>
            <w:vAlign w:val="bottom"/>
            <w:vMerge w:val="restart"/>
          </w:tcPr>
          <w:p>
            <w:pPr>
              <w:spacing w:after="0" w:line="162" w:lineRule="exact"/>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line="162" w:lineRule="exact"/>
              <w:rPr>
                <w:sz w:val="20"/>
                <w:szCs w:val="20"/>
                <w:color w:val="auto"/>
              </w:rPr>
            </w:pPr>
            <w:r>
              <w:rPr>
                <w:rFonts w:ascii="Arial" w:cs="Arial" w:eastAsia="Arial" w:hAnsi="Arial"/>
                <w:sz w:val="18"/>
                <w:szCs w:val="18"/>
                <w:color w:val="auto"/>
              </w:rPr>
              <w:t>10,000</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w w:val="75"/>
              </w:rPr>
              <w:t>(3)</w:t>
            </w:r>
          </w:p>
        </w:tc>
        <w:tc>
          <w:tcPr>
            <w:tcW w:w="220" w:type="dxa"/>
            <w:vAlign w:val="bottom"/>
            <w:gridSpan w:val="2"/>
            <w:vMerge w:val="restart"/>
          </w:tcPr>
          <w:p>
            <w:pPr>
              <w:jc w:val="right"/>
              <w:ind w:right="80"/>
              <w:spacing w:after="0" w:line="162" w:lineRule="exact"/>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00"/>
              <w:spacing w:after="0" w:line="162" w:lineRule="exact"/>
              <w:rPr>
                <w:sz w:val="20"/>
                <w:szCs w:val="20"/>
                <w:color w:val="auto"/>
              </w:rPr>
            </w:pPr>
            <w:r>
              <w:rPr>
                <w:rFonts w:ascii="Arial" w:cs="Arial" w:eastAsia="Arial" w:hAnsi="Arial"/>
                <w:sz w:val="18"/>
                <w:szCs w:val="18"/>
                <w:color w:val="auto"/>
              </w:rPr>
              <w:t>10,001</w:t>
            </w:r>
          </w:p>
        </w:tc>
        <w:tc>
          <w:tcPr>
            <w:tcW w:w="0" w:type="dxa"/>
            <w:vAlign w:val="bottom"/>
          </w:tcPr>
          <w:p>
            <w:pPr>
              <w:spacing w:after="0"/>
              <w:rPr>
                <w:sz w:val="1"/>
                <w:szCs w:val="1"/>
                <w:color w:val="auto"/>
              </w:rPr>
            </w:pPr>
          </w:p>
        </w:tc>
      </w:tr>
      <w:tr>
        <w:trPr>
          <w:trHeight w:val="27"/>
        </w:trPr>
        <w:tc>
          <w:tcPr>
            <w:tcW w:w="5280" w:type="dxa"/>
            <w:vAlign w:val="bottom"/>
            <w:gridSpan w:val="2"/>
            <w:vMerge w:val="continue"/>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26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200" w:type="dxa"/>
            <w:vAlign w:val="bottom"/>
            <w:vMerge w:val="continue"/>
          </w:tcPr>
          <w:p>
            <w:pPr>
              <w:spacing w:after="0"/>
              <w:rPr>
                <w:sz w:val="2"/>
                <w:szCs w:val="2"/>
                <w:color w:val="auto"/>
              </w:rPr>
            </w:pPr>
          </w:p>
        </w:tc>
        <w:tc>
          <w:tcPr>
            <w:tcW w:w="22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8"/>
        </w:trPr>
        <w:tc>
          <w:tcPr>
            <w:tcW w:w="20" w:type="dxa"/>
            <w:vAlign w:val="bottom"/>
          </w:tcPr>
          <w:p>
            <w:pPr>
              <w:spacing w:after="0"/>
              <w:rPr>
                <w:sz w:val="3"/>
                <w:szCs w:val="3"/>
                <w:color w:val="auto"/>
              </w:rPr>
            </w:pPr>
          </w:p>
        </w:tc>
        <w:tc>
          <w:tcPr>
            <w:tcW w:w="5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Principal Executive Officer</w:t>
            </w:r>
          </w:p>
        </w:tc>
        <w:tc>
          <w:tcPr>
            <w:tcW w:w="5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7"/>
                <w:szCs w:val="17"/>
                <w:color w:val="auto"/>
              </w:rPr>
              <w:t>2007</w:t>
            </w:r>
          </w:p>
        </w:tc>
        <w:tc>
          <w:tcPr>
            <w:tcW w:w="300" w:type="dxa"/>
            <w:vAlign w:val="bottom"/>
          </w:tcPr>
          <w:p>
            <w:pPr>
              <w:spacing w:after="0"/>
              <w:rPr>
                <w:sz w:val="12"/>
                <w:szCs w:val="12"/>
                <w:color w:val="auto"/>
              </w:rPr>
            </w:pPr>
          </w:p>
        </w:tc>
        <w:tc>
          <w:tcPr>
            <w:tcW w:w="360" w:type="dxa"/>
            <w:vAlign w:val="bottom"/>
            <w:gridSpan w:val="2"/>
          </w:tcPr>
          <w:p>
            <w:pPr>
              <w:jc w:val="right"/>
              <w:ind w:right="60"/>
              <w:spacing w:after="0" w:line="149" w:lineRule="exact"/>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7"/>
                <w:szCs w:val="17"/>
                <w:color w:val="auto"/>
              </w:rPr>
              <w:t>54,000</w:t>
            </w:r>
          </w:p>
        </w:tc>
        <w:tc>
          <w:tcPr>
            <w:tcW w:w="260" w:type="dxa"/>
            <w:vAlign w:val="bottom"/>
            <w:gridSpan w:val="2"/>
          </w:tcPr>
          <w:p>
            <w:pPr>
              <w:jc w:val="right"/>
              <w:ind w:right="60"/>
              <w:spacing w:after="0" w:line="149" w:lineRule="exact"/>
              <w:rPr>
                <w:sz w:val="20"/>
                <w:szCs w:val="20"/>
                <w:color w:val="auto"/>
              </w:rPr>
            </w:pPr>
            <w:r>
              <w:rPr>
                <w:rFonts w:ascii="Arial" w:cs="Arial" w:eastAsia="Arial" w:hAnsi="Arial"/>
                <w:sz w:val="17"/>
                <w:szCs w:val="17"/>
                <w:color w:val="auto"/>
              </w:rPr>
              <w:t>$</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7"/>
                <w:szCs w:val="17"/>
                <w:color w:val="auto"/>
              </w:rPr>
              <w:t>-0-</w:t>
            </w:r>
          </w:p>
        </w:tc>
        <w:tc>
          <w:tcPr>
            <w:tcW w:w="120" w:type="dxa"/>
            <w:vAlign w:val="bottom"/>
          </w:tcPr>
          <w:p>
            <w:pPr>
              <w:spacing w:after="0" w:line="149" w:lineRule="exact"/>
              <w:rPr>
                <w:sz w:val="20"/>
                <w:szCs w:val="20"/>
                <w:color w:val="auto"/>
              </w:rPr>
            </w:pPr>
            <w:r>
              <w:rPr>
                <w:rFonts w:ascii="Arial" w:cs="Arial" w:eastAsia="Arial" w:hAnsi="Arial"/>
                <w:sz w:val="17"/>
                <w:szCs w:val="17"/>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7"/>
                <w:szCs w:val="17"/>
                <w:color w:val="auto"/>
              </w:rPr>
              <w:t>1,620</w:t>
            </w:r>
          </w:p>
        </w:tc>
        <w:tc>
          <w:tcPr>
            <w:tcW w:w="200" w:type="dxa"/>
            <w:vAlign w:val="bottom"/>
            <w:vMerge w:val="restart"/>
          </w:tcPr>
          <w:p>
            <w:pPr>
              <w:jc w:val="right"/>
              <w:spacing w:after="0"/>
              <w:rPr>
                <w:sz w:val="20"/>
                <w:szCs w:val="20"/>
                <w:color w:val="auto"/>
              </w:rPr>
            </w:pPr>
            <w:r>
              <w:rPr>
                <w:rFonts w:ascii="Arial" w:cs="Arial" w:eastAsia="Arial" w:hAnsi="Arial"/>
                <w:sz w:val="13"/>
                <w:szCs w:val="13"/>
                <w:color w:val="auto"/>
                <w:w w:val="75"/>
              </w:rPr>
              <w:t>(4)</w:t>
            </w:r>
          </w:p>
        </w:tc>
        <w:tc>
          <w:tcPr>
            <w:tcW w:w="220" w:type="dxa"/>
            <w:vAlign w:val="bottom"/>
            <w:gridSpan w:val="2"/>
          </w:tcPr>
          <w:p>
            <w:pPr>
              <w:jc w:val="right"/>
              <w:ind w:right="80"/>
              <w:spacing w:after="0" w:line="149"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7"/>
                <w:szCs w:val="17"/>
                <w:color w:val="auto"/>
              </w:rPr>
              <w:t>55,620</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5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573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211" w:lineRule="exact"/>
        <w:rPr>
          <w:sz w:val="20"/>
          <w:szCs w:val="20"/>
          <w:color w:val="auto"/>
        </w:rPr>
      </w:pPr>
    </w:p>
    <w:p>
      <w:pPr>
        <w:jc w:val="both"/>
        <w:ind w:firstLine="656"/>
        <w:spacing w:after="0" w:line="264" w:lineRule="auto"/>
        <w:tabs>
          <w:tab w:leader="none" w:pos="962"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Woodhill became the Company’s Chief Executive Officer, Chief Financial Officer, Secretary and a director on June 17, 2008. He is not an employee of the Company but receives $500 per month for his services pursuant to a consulting arrangement with the Company. See “Item 13. Certain Relationships and Related Transactions, and Director Independence” below.</w:t>
      </w:r>
    </w:p>
    <w:p>
      <w:pPr>
        <w:spacing w:after="0" w:line="235" w:lineRule="exact"/>
        <w:rPr>
          <w:rFonts w:ascii="Arial" w:cs="Arial" w:eastAsia="Arial" w:hAnsi="Arial"/>
          <w:sz w:val="18"/>
          <w:szCs w:val="18"/>
          <w:color w:val="auto"/>
        </w:rPr>
      </w:pPr>
    </w:p>
    <w:p>
      <w:pPr>
        <w:ind w:left="1000" w:hanging="344"/>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Mr. Jensen resigned from all positions with the Company by June 18, 2008.</w:t>
      </w:r>
    </w:p>
    <w:p>
      <w:pPr>
        <w:spacing w:after="0" w:line="279" w:lineRule="exact"/>
        <w:rPr>
          <w:rFonts w:ascii="Arial" w:cs="Arial" w:eastAsia="Arial" w:hAnsi="Arial"/>
          <w:sz w:val="18"/>
          <w:szCs w:val="18"/>
          <w:color w:val="auto"/>
        </w:rPr>
      </w:pPr>
    </w:p>
    <w:p>
      <w:pPr>
        <w:ind w:left="1000" w:hanging="344"/>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services as a director. See “Compensation to Directors,” below.</w:t>
      </w:r>
    </w:p>
    <w:p>
      <w:pPr>
        <w:spacing w:after="0" w:line="279" w:lineRule="exact"/>
        <w:rPr>
          <w:rFonts w:ascii="Arial" w:cs="Arial" w:eastAsia="Arial" w:hAnsi="Arial"/>
          <w:sz w:val="18"/>
          <w:szCs w:val="18"/>
          <w:color w:val="auto"/>
        </w:rPr>
      </w:pPr>
    </w:p>
    <w:p>
      <w:pPr>
        <w:ind w:left="1000" w:hanging="344"/>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Consists of an annual IRA contribution.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2008, there were no outstanding equity awards by the Company to any principal executive officer named above.</w:t>
      </w: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Compensation to Directors</w:t>
      </w:r>
      <w:r>
        <w:rPr>
          <w:rFonts w:ascii="Arial" w:cs="Arial" w:eastAsia="Arial" w:hAnsi="Arial"/>
          <w:sz w:val="18"/>
          <w:szCs w:val="18"/>
          <w:color w:val="auto"/>
        </w:rPr>
        <w:t>. Since June 17, 2008, the Company has not compensated its directors for their services as such. From January 1, 2008 until June</w:t>
      </w:r>
      <w:r>
        <w:rPr>
          <w:rFonts w:ascii="Arial" w:cs="Arial" w:eastAsia="Arial" w:hAnsi="Arial"/>
          <w:sz w:val="18"/>
          <w:szCs w:val="18"/>
          <w:i w:val="1"/>
          <w:iCs w:val="1"/>
          <w:color w:val="auto"/>
        </w:rPr>
        <w:t xml:space="preserve"> </w:t>
      </w:r>
      <w:r>
        <w:rPr>
          <w:rFonts w:ascii="Arial" w:cs="Arial" w:eastAsia="Arial" w:hAnsi="Arial"/>
          <w:sz w:val="18"/>
          <w:szCs w:val="18"/>
          <w:color w:val="auto"/>
        </w:rPr>
        <w:t>17, 2008, the Company compensated its directors with the following cash payments: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Name</w:t>
            </w:r>
          </w:p>
        </w:tc>
        <w:tc>
          <w:tcPr>
            <w:tcW w:w="132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auto"/>
              </w:rPr>
              <w:t>Amount</w:t>
            </w:r>
          </w:p>
        </w:tc>
        <w:tc>
          <w:tcPr>
            <w:tcW w:w="3480" w:type="dxa"/>
            <w:vAlign w:val="bottom"/>
          </w:tcPr>
          <w:p>
            <w:pPr>
              <w:spacing w:after="0"/>
              <w:rPr>
                <w:sz w:val="18"/>
                <w:szCs w:val="18"/>
                <w:color w:val="auto"/>
              </w:rPr>
            </w:pPr>
          </w:p>
        </w:tc>
      </w:tr>
      <w:tr>
        <w:trPr>
          <w:trHeight w:val="237"/>
        </w:trPr>
        <w:tc>
          <w:tcPr>
            <w:tcW w:w="35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68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216"/>
        </w:trPr>
        <w:tc>
          <w:tcPr>
            <w:tcW w:w="3500" w:type="dxa"/>
            <w:vAlign w:val="bottom"/>
          </w:tcPr>
          <w:p>
            <w:pPr>
              <w:spacing w:after="0"/>
              <w:rPr>
                <w:sz w:val="18"/>
                <w:szCs w:val="18"/>
                <w:color w:val="auto"/>
              </w:rPr>
            </w:pPr>
          </w:p>
        </w:tc>
        <w:tc>
          <w:tcPr>
            <w:tcW w:w="18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Gerald L. Jensen</w:t>
            </w:r>
          </w:p>
        </w:tc>
        <w:tc>
          <w:tcPr>
            <w:tcW w:w="1920" w:type="dxa"/>
            <w:vAlign w:val="bottom"/>
            <w:gridSpan w:val="2"/>
            <w:shd w:val="clear" w:color="auto" w:fill="EEEEEE"/>
          </w:tcPr>
          <w:p>
            <w:pPr>
              <w:ind w:left="1320"/>
              <w:spacing w:after="0"/>
              <w:rPr>
                <w:sz w:val="20"/>
                <w:szCs w:val="20"/>
                <w:color w:val="auto"/>
              </w:rPr>
            </w:pPr>
            <w:r>
              <w:rPr>
                <w:rFonts w:ascii="Arial" w:cs="Arial" w:eastAsia="Arial" w:hAnsi="Arial"/>
                <w:sz w:val="18"/>
                <w:szCs w:val="18"/>
                <w:color w:val="auto"/>
                <w:w w:val="89"/>
              </w:rPr>
              <w:t>$10,000</w:t>
            </w:r>
          </w:p>
        </w:tc>
        <w:tc>
          <w:tcPr>
            <w:tcW w:w="680" w:type="dxa"/>
            <w:vAlign w:val="bottom"/>
            <w:shd w:val="clear" w:color="auto" w:fill="EEEEEE"/>
          </w:tcPr>
          <w:p>
            <w:pPr>
              <w:spacing w:after="0"/>
              <w:rPr>
                <w:sz w:val="18"/>
                <w:szCs w:val="18"/>
                <w:color w:val="auto"/>
              </w:rPr>
            </w:pPr>
          </w:p>
        </w:tc>
        <w:tc>
          <w:tcPr>
            <w:tcW w:w="348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Richard H. Mandel, Jr.</w:t>
            </w:r>
          </w:p>
        </w:tc>
        <w:tc>
          <w:tcPr>
            <w:tcW w:w="1920" w:type="dxa"/>
            <w:vAlign w:val="bottom"/>
            <w:gridSpan w:val="2"/>
          </w:tcPr>
          <w:p>
            <w:pPr>
              <w:ind w:left="1320"/>
              <w:spacing w:after="0"/>
              <w:rPr>
                <w:sz w:val="20"/>
                <w:szCs w:val="20"/>
                <w:color w:val="auto"/>
              </w:rPr>
            </w:pPr>
            <w:r>
              <w:rPr>
                <w:rFonts w:ascii="Arial" w:cs="Arial" w:eastAsia="Arial" w:hAnsi="Arial"/>
                <w:sz w:val="18"/>
                <w:szCs w:val="18"/>
                <w:color w:val="auto"/>
                <w:w w:val="89"/>
              </w:rPr>
              <w:t>$10,000</w:t>
            </w:r>
          </w:p>
        </w:tc>
        <w:tc>
          <w:tcPr>
            <w:tcW w:w="680" w:type="dxa"/>
            <w:vAlign w:val="bottom"/>
          </w:tcPr>
          <w:p>
            <w:pPr>
              <w:spacing w:after="0"/>
              <w:rPr>
                <w:sz w:val="18"/>
                <w:szCs w:val="18"/>
                <w:color w:val="auto"/>
              </w:rPr>
            </w:pPr>
          </w:p>
        </w:tc>
        <w:tc>
          <w:tcPr>
            <w:tcW w:w="348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18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Julian D. Jensen</w:t>
            </w:r>
          </w:p>
        </w:tc>
        <w:tc>
          <w:tcPr>
            <w:tcW w:w="1920" w:type="dxa"/>
            <w:vAlign w:val="bottom"/>
            <w:gridSpan w:val="2"/>
            <w:shd w:val="clear" w:color="auto" w:fill="EEEEEE"/>
          </w:tcPr>
          <w:p>
            <w:pPr>
              <w:ind w:left="1320"/>
              <w:spacing w:after="0"/>
              <w:rPr>
                <w:sz w:val="20"/>
                <w:szCs w:val="20"/>
                <w:color w:val="auto"/>
              </w:rPr>
            </w:pPr>
            <w:r>
              <w:rPr>
                <w:rFonts w:ascii="Arial" w:cs="Arial" w:eastAsia="Arial" w:hAnsi="Arial"/>
                <w:sz w:val="18"/>
                <w:szCs w:val="18"/>
                <w:color w:val="auto"/>
                <w:w w:val="89"/>
              </w:rPr>
              <w:t>$10,000</w:t>
            </w:r>
          </w:p>
        </w:tc>
        <w:tc>
          <w:tcPr>
            <w:tcW w:w="680" w:type="dxa"/>
            <w:vAlign w:val="bottom"/>
            <w:shd w:val="clear" w:color="auto" w:fill="EEEEEE"/>
          </w:tcPr>
          <w:p>
            <w:pPr>
              <w:spacing w:after="0"/>
              <w:rPr>
                <w:sz w:val="18"/>
                <w:szCs w:val="18"/>
                <w:color w:val="auto"/>
              </w:rPr>
            </w:pPr>
          </w:p>
        </w:tc>
        <w:tc>
          <w:tcPr>
            <w:tcW w:w="348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auto"/>
              </w:rPr>
              <w:t>Harvey Fenster</w:t>
            </w:r>
          </w:p>
        </w:tc>
        <w:tc>
          <w:tcPr>
            <w:tcW w:w="1920" w:type="dxa"/>
            <w:vAlign w:val="bottom"/>
            <w:gridSpan w:val="2"/>
          </w:tcPr>
          <w:p>
            <w:pPr>
              <w:ind w:left="1320"/>
              <w:spacing w:after="0"/>
              <w:rPr>
                <w:sz w:val="20"/>
                <w:szCs w:val="20"/>
                <w:color w:val="auto"/>
              </w:rPr>
            </w:pPr>
            <w:r>
              <w:rPr>
                <w:rFonts w:ascii="Arial" w:cs="Arial" w:eastAsia="Arial" w:hAnsi="Arial"/>
                <w:sz w:val="18"/>
                <w:szCs w:val="18"/>
                <w:color w:val="auto"/>
                <w:w w:val="89"/>
              </w:rPr>
              <w:t>$10,000</w:t>
            </w:r>
          </w:p>
        </w:tc>
        <w:tc>
          <w:tcPr>
            <w:tcW w:w="680" w:type="dxa"/>
            <w:vAlign w:val="bottom"/>
          </w:tcPr>
          <w:p>
            <w:pPr>
              <w:spacing w:after="0"/>
              <w:rPr>
                <w:sz w:val="20"/>
                <w:szCs w:val="20"/>
                <w:color w:val="auto"/>
              </w:rPr>
            </w:pPr>
          </w:p>
        </w:tc>
        <w:tc>
          <w:tcPr>
            <w:tcW w:w="3480" w:type="dxa"/>
            <w:vAlign w:val="bottom"/>
          </w:tcPr>
          <w:p>
            <w:pPr>
              <w:spacing w:after="0"/>
              <w:rPr>
                <w:sz w:val="20"/>
                <w:szCs w:val="20"/>
                <w:color w:val="auto"/>
              </w:rPr>
            </w:pPr>
          </w:p>
        </w:tc>
      </w:tr>
      <w:tr>
        <w:trPr>
          <w:trHeight w:val="864"/>
        </w:trPr>
        <w:tc>
          <w:tcPr>
            <w:tcW w:w="3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20" w:type="dxa"/>
            <w:vAlign w:val="bottom"/>
          </w:tcPr>
          <w:p>
            <w:pPr>
              <w:jc w:val="right"/>
              <w:ind w:right="710"/>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108"/>
        </w:trPr>
        <w:tc>
          <w:tcPr>
            <w:tcW w:w="35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348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following table sets forth the record ownership of the Company's common stock (the Company's only class of equity securities) as of March 16, 2009 (the latest practicable date) as to (i) each person or entity who owns more than 5% of the Company's common stock, (ii) each person who was the Company’s principal executive officer during the fiscal year ended December 31, 2008, and (iii) all current officers and directors of the Company as a group: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4500" w:type="dxa"/>
            <w:vAlign w:val="bottom"/>
            <w:gridSpan w:val="2"/>
          </w:tcPr>
          <w:p>
            <w:pPr>
              <w:spacing w:after="0"/>
              <w:rPr>
                <w:sz w:val="20"/>
                <w:szCs w:val="20"/>
                <w:color w:val="auto"/>
              </w:rPr>
            </w:pPr>
            <w:r>
              <w:rPr>
                <w:rFonts w:ascii="Arial" w:cs="Arial" w:eastAsia="Arial" w:hAnsi="Arial"/>
                <w:sz w:val="18"/>
                <w:szCs w:val="18"/>
                <w:color w:val="auto"/>
              </w:rPr>
              <w:t>Name and Address of Owner</w:t>
            </w:r>
          </w:p>
        </w:tc>
        <w:tc>
          <w:tcPr>
            <w:tcW w:w="460" w:type="dxa"/>
            <w:vAlign w:val="bottom"/>
          </w:tcPr>
          <w:p>
            <w:pPr>
              <w:spacing w:after="0"/>
              <w:rPr>
                <w:sz w:val="24"/>
                <w:szCs w:val="24"/>
                <w:color w:val="auto"/>
              </w:rPr>
            </w:pPr>
          </w:p>
        </w:tc>
        <w:tc>
          <w:tcPr>
            <w:tcW w:w="2980" w:type="dxa"/>
            <w:vAlign w:val="bottom"/>
          </w:tcPr>
          <w:p>
            <w:pPr>
              <w:ind w:left="460"/>
              <w:spacing w:after="0"/>
              <w:rPr>
                <w:sz w:val="20"/>
                <w:szCs w:val="20"/>
                <w:color w:val="auto"/>
              </w:rPr>
            </w:pPr>
            <w:r>
              <w:rPr>
                <w:rFonts w:ascii="Arial" w:cs="Arial" w:eastAsia="Arial" w:hAnsi="Arial"/>
                <w:sz w:val="18"/>
                <w:szCs w:val="18"/>
                <w:color w:val="auto"/>
              </w:rPr>
              <w:t xml:space="preserve">Number of Shares Owned </w:t>
            </w:r>
            <w:r>
              <w:rPr>
                <w:rFonts w:ascii="Arial" w:cs="Arial" w:eastAsia="Arial" w:hAnsi="Arial"/>
                <w:sz w:val="25"/>
                <w:szCs w:val="25"/>
                <w:color w:val="auto"/>
                <w:vertAlign w:val="superscript"/>
              </w:rPr>
              <w:t>(1)</w:t>
            </w:r>
          </w:p>
        </w:tc>
        <w:tc>
          <w:tcPr>
            <w:tcW w:w="46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86"/>
              </w:rPr>
              <w:t xml:space="preserve">Percent of Class </w:t>
            </w:r>
            <w:r>
              <w:rPr>
                <w:rFonts w:ascii="Arial" w:cs="Arial" w:eastAsia="Arial" w:hAnsi="Arial"/>
                <w:sz w:val="25"/>
                <w:szCs w:val="25"/>
                <w:color w:val="auto"/>
                <w:w w:val="86"/>
                <w:vertAlign w:val="superscript"/>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29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Terrace Lane, LLC</w:t>
            </w:r>
          </w:p>
        </w:tc>
        <w:tc>
          <w:tcPr>
            <w:tcW w:w="3440" w:type="dxa"/>
            <w:vAlign w:val="bottom"/>
            <w:gridSpan w:val="2"/>
            <w:shd w:val="clear" w:color="auto" w:fill="EEEEEE"/>
          </w:tcPr>
          <w:p>
            <w:pPr>
              <w:jc w:val="center"/>
              <w:ind w:left="371"/>
              <w:spacing w:after="0" w:line="216" w:lineRule="exact"/>
              <w:rPr>
                <w:sz w:val="20"/>
                <w:szCs w:val="20"/>
                <w:color w:val="auto"/>
              </w:rPr>
            </w:pPr>
            <w:r>
              <w:rPr>
                <w:rFonts w:ascii="Arial" w:cs="Arial" w:eastAsia="Arial" w:hAnsi="Arial"/>
                <w:sz w:val="17"/>
                <w:szCs w:val="17"/>
                <w:color w:val="auto"/>
                <w:w w:val="91"/>
              </w:rPr>
              <w:t>646,000</w:t>
            </w:r>
            <w:r>
              <w:rPr>
                <w:rFonts w:ascii="Arial" w:cs="Arial" w:eastAsia="Arial" w:hAnsi="Arial"/>
                <w:sz w:val="24"/>
                <w:szCs w:val="24"/>
                <w:color w:val="auto"/>
                <w:w w:val="91"/>
                <w:vertAlign w:val="superscript"/>
              </w:rPr>
              <w:t>(3)</w:t>
            </w:r>
          </w:p>
        </w:tc>
        <w:tc>
          <w:tcPr>
            <w:tcW w:w="3480" w:type="dxa"/>
            <w:vAlign w:val="bottom"/>
            <w:gridSpan w:val="2"/>
            <w:shd w:val="clear" w:color="auto" w:fill="EEEEEE"/>
          </w:tcPr>
          <w:p>
            <w:pPr>
              <w:jc w:val="center"/>
              <w:ind w:left="370"/>
              <w:spacing w:after="0"/>
              <w:rPr>
                <w:sz w:val="20"/>
                <w:szCs w:val="20"/>
                <w:color w:val="auto"/>
              </w:rPr>
            </w:pPr>
            <w:r>
              <w:rPr>
                <w:rFonts w:ascii="Arial" w:cs="Arial" w:eastAsia="Arial" w:hAnsi="Arial"/>
                <w:sz w:val="18"/>
                <w:szCs w:val="18"/>
                <w:color w:val="auto"/>
                <w:w w:val="90"/>
              </w:rPr>
              <w:t>63.5%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80" w:type="dxa"/>
            <w:vAlign w:val="bottom"/>
            <w:shd w:val="clear" w:color="auto" w:fill="EEEEEE"/>
          </w:tcPr>
          <w:p>
            <w:pPr>
              <w:spacing w:after="0" w:line="244" w:lineRule="exact"/>
              <w:rPr>
                <w:sz w:val="20"/>
                <w:szCs w:val="20"/>
                <w:color w:val="auto"/>
              </w:rPr>
            </w:pPr>
            <w:r>
              <w:rPr>
                <w:rFonts w:ascii="Arial" w:cs="Arial" w:eastAsia="Arial" w:hAnsi="Arial"/>
                <w:sz w:val="18"/>
                <w:szCs w:val="18"/>
                <w:color w:val="auto"/>
              </w:rPr>
              <w:t>9200 Sunset Boulevard, 9</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c>
          <w:tcPr>
            <w:tcW w:w="460" w:type="dxa"/>
            <w:vAlign w:val="bottom"/>
            <w:shd w:val="clear" w:color="auto" w:fill="EEEEEE"/>
          </w:tcPr>
          <w:p>
            <w:pPr>
              <w:spacing w:after="0"/>
              <w:rPr>
                <w:sz w:val="21"/>
                <w:szCs w:val="21"/>
                <w:color w:val="auto"/>
              </w:rPr>
            </w:pPr>
          </w:p>
        </w:tc>
        <w:tc>
          <w:tcPr>
            <w:tcW w:w="2980" w:type="dxa"/>
            <w:vAlign w:val="bottom"/>
            <w:shd w:val="clear" w:color="auto" w:fill="EEEEEE"/>
          </w:tcPr>
          <w:p>
            <w:pPr>
              <w:spacing w:after="0"/>
              <w:rPr>
                <w:sz w:val="21"/>
                <w:szCs w:val="21"/>
                <w:color w:val="auto"/>
              </w:rPr>
            </w:pPr>
          </w:p>
        </w:tc>
        <w:tc>
          <w:tcPr>
            <w:tcW w:w="460" w:type="dxa"/>
            <w:vAlign w:val="bottom"/>
            <w:shd w:val="clear" w:color="auto" w:fill="EEEEEE"/>
          </w:tcPr>
          <w:p>
            <w:pPr>
              <w:spacing w:after="0"/>
              <w:rPr>
                <w:sz w:val="21"/>
                <w:szCs w:val="21"/>
                <w:color w:val="auto"/>
              </w:rPr>
            </w:pPr>
          </w:p>
        </w:tc>
        <w:tc>
          <w:tcPr>
            <w:tcW w:w="302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West Hollywood, California 90069</w:t>
            </w:r>
          </w:p>
        </w:tc>
        <w:tc>
          <w:tcPr>
            <w:tcW w:w="460" w:type="dxa"/>
            <w:vAlign w:val="bottom"/>
            <w:shd w:val="clear" w:color="auto" w:fill="EEEEEE"/>
          </w:tcPr>
          <w:p>
            <w:pPr>
              <w:spacing w:after="0"/>
              <w:rPr>
                <w:sz w:val="18"/>
                <w:szCs w:val="18"/>
                <w:color w:val="auto"/>
              </w:rPr>
            </w:pPr>
          </w:p>
        </w:tc>
        <w:tc>
          <w:tcPr>
            <w:tcW w:w="29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Gerald L. Jensen</w:t>
            </w:r>
          </w:p>
        </w:tc>
        <w:tc>
          <w:tcPr>
            <w:tcW w:w="3440" w:type="dxa"/>
            <w:vAlign w:val="bottom"/>
            <w:gridSpan w:val="2"/>
            <w:shd w:val="clear" w:color="auto" w:fill="EEEEEE"/>
          </w:tcPr>
          <w:p>
            <w:pPr>
              <w:jc w:val="center"/>
              <w:ind w:left="371"/>
              <w:spacing w:after="0"/>
              <w:rPr>
                <w:sz w:val="20"/>
                <w:szCs w:val="20"/>
                <w:color w:val="auto"/>
              </w:rPr>
            </w:pPr>
            <w:r>
              <w:rPr>
                <w:rFonts w:ascii="Arial" w:cs="Arial" w:eastAsia="Arial" w:hAnsi="Arial"/>
                <w:sz w:val="18"/>
                <w:szCs w:val="18"/>
                <w:color w:val="auto"/>
                <w:w w:val="99"/>
              </w:rPr>
              <w:t>-0-</w:t>
            </w:r>
          </w:p>
        </w:tc>
        <w:tc>
          <w:tcPr>
            <w:tcW w:w="460" w:type="dxa"/>
            <w:vAlign w:val="bottom"/>
            <w:shd w:val="clear" w:color="auto" w:fill="EEEEEE"/>
          </w:tcPr>
          <w:p>
            <w:pPr>
              <w:spacing w:after="0"/>
              <w:rPr>
                <w:sz w:val="18"/>
                <w:szCs w:val="18"/>
                <w:color w:val="auto"/>
              </w:rPr>
            </w:pPr>
          </w:p>
        </w:tc>
        <w:tc>
          <w:tcPr>
            <w:tcW w:w="3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3773 Cherry Creek Drive North, #1025</w:t>
            </w:r>
          </w:p>
        </w:tc>
        <w:tc>
          <w:tcPr>
            <w:tcW w:w="460" w:type="dxa"/>
            <w:vAlign w:val="bottom"/>
            <w:shd w:val="clear" w:color="auto" w:fill="EEEEEE"/>
          </w:tcPr>
          <w:p>
            <w:pPr>
              <w:spacing w:after="0"/>
              <w:rPr>
                <w:sz w:val="18"/>
                <w:szCs w:val="18"/>
                <w:color w:val="auto"/>
              </w:rPr>
            </w:pPr>
          </w:p>
        </w:tc>
        <w:tc>
          <w:tcPr>
            <w:tcW w:w="29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Denver, Colorado 80209</w:t>
            </w:r>
          </w:p>
        </w:tc>
        <w:tc>
          <w:tcPr>
            <w:tcW w:w="460" w:type="dxa"/>
            <w:vAlign w:val="bottom"/>
            <w:shd w:val="clear" w:color="auto" w:fill="EEEEEE"/>
          </w:tcPr>
          <w:p>
            <w:pPr>
              <w:spacing w:after="0"/>
              <w:rPr>
                <w:sz w:val="18"/>
                <w:szCs w:val="18"/>
                <w:color w:val="auto"/>
              </w:rPr>
            </w:pPr>
          </w:p>
        </w:tc>
        <w:tc>
          <w:tcPr>
            <w:tcW w:w="29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Gregory R. Woodhill</w:t>
            </w:r>
          </w:p>
        </w:tc>
        <w:tc>
          <w:tcPr>
            <w:tcW w:w="3440" w:type="dxa"/>
            <w:vAlign w:val="bottom"/>
            <w:gridSpan w:val="2"/>
            <w:shd w:val="clear" w:color="auto" w:fill="EEEEEE"/>
          </w:tcPr>
          <w:p>
            <w:pPr>
              <w:jc w:val="center"/>
              <w:ind w:left="371"/>
              <w:spacing w:after="0"/>
              <w:rPr>
                <w:sz w:val="20"/>
                <w:szCs w:val="20"/>
                <w:color w:val="auto"/>
              </w:rPr>
            </w:pPr>
            <w:r>
              <w:rPr>
                <w:rFonts w:ascii="Arial" w:cs="Arial" w:eastAsia="Arial" w:hAnsi="Arial"/>
                <w:sz w:val="18"/>
                <w:szCs w:val="18"/>
                <w:color w:val="auto"/>
                <w:w w:val="99"/>
              </w:rPr>
              <w:t>-0-</w:t>
            </w:r>
          </w:p>
        </w:tc>
        <w:tc>
          <w:tcPr>
            <w:tcW w:w="460" w:type="dxa"/>
            <w:vAlign w:val="bottom"/>
            <w:shd w:val="clear" w:color="auto" w:fill="EEEEEE"/>
          </w:tcPr>
          <w:p>
            <w:pPr>
              <w:spacing w:after="0"/>
              <w:rPr>
                <w:sz w:val="18"/>
                <w:szCs w:val="18"/>
                <w:color w:val="auto"/>
              </w:rPr>
            </w:pPr>
          </w:p>
        </w:tc>
        <w:tc>
          <w:tcPr>
            <w:tcW w:w="3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c/o Croff Enterprises, Inc.</w:t>
            </w:r>
          </w:p>
        </w:tc>
        <w:tc>
          <w:tcPr>
            <w:tcW w:w="460" w:type="dxa"/>
            <w:vAlign w:val="bottom"/>
            <w:shd w:val="clear" w:color="auto" w:fill="EEEEEE"/>
          </w:tcPr>
          <w:p>
            <w:pPr>
              <w:spacing w:after="0"/>
              <w:rPr>
                <w:sz w:val="18"/>
                <w:szCs w:val="18"/>
                <w:color w:val="auto"/>
              </w:rPr>
            </w:pPr>
          </w:p>
        </w:tc>
        <w:tc>
          <w:tcPr>
            <w:tcW w:w="29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9903 Santa Monica Blvd., Suite 287</w:t>
            </w:r>
          </w:p>
        </w:tc>
        <w:tc>
          <w:tcPr>
            <w:tcW w:w="460" w:type="dxa"/>
            <w:vAlign w:val="bottom"/>
            <w:shd w:val="clear" w:color="auto" w:fill="EEEEEE"/>
          </w:tcPr>
          <w:p>
            <w:pPr>
              <w:spacing w:after="0"/>
              <w:rPr>
                <w:sz w:val="18"/>
                <w:szCs w:val="18"/>
                <w:color w:val="auto"/>
              </w:rPr>
            </w:pPr>
          </w:p>
        </w:tc>
        <w:tc>
          <w:tcPr>
            <w:tcW w:w="29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Beverly Hills, California 90212</w:t>
            </w:r>
          </w:p>
        </w:tc>
        <w:tc>
          <w:tcPr>
            <w:tcW w:w="460" w:type="dxa"/>
            <w:vAlign w:val="bottom"/>
            <w:shd w:val="clear" w:color="auto" w:fill="EEEEEE"/>
          </w:tcPr>
          <w:p>
            <w:pPr>
              <w:spacing w:after="0"/>
              <w:rPr>
                <w:sz w:val="18"/>
                <w:szCs w:val="18"/>
                <w:color w:val="auto"/>
              </w:rPr>
            </w:pPr>
          </w:p>
        </w:tc>
        <w:tc>
          <w:tcPr>
            <w:tcW w:w="29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Michael Chester</w:t>
            </w:r>
          </w:p>
        </w:tc>
        <w:tc>
          <w:tcPr>
            <w:tcW w:w="3440" w:type="dxa"/>
            <w:vAlign w:val="bottom"/>
            <w:gridSpan w:val="2"/>
            <w:shd w:val="clear" w:color="auto" w:fill="EEEEEE"/>
          </w:tcPr>
          <w:p>
            <w:pPr>
              <w:jc w:val="center"/>
              <w:ind w:left="371"/>
              <w:spacing w:after="0"/>
              <w:rPr>
                <w:sz w:val="20"/>
                <w:szCs w:val="20"/>
                <w:color w:val="auto"/>
              </w:rPr>
            </w:pPr>
            <w:r>
              <w:rPr>
                <w:rFonts w:ascii="Arial" w:cs="Arial" w:eastAsia="Arial" w:hAnsi="Arial"/>
                <w:sz w:val="18"/>
                <w:szCs w:val="18"/>
                <w:color w:val="auto"/>
                <w:w w:val="99"/>
              </w:rPr>
              <w:t>-0-</w:t>
            </w:r>
          </w:p>
        </w:tc>
        <w:tc>
          <w:tcPr>
            <w:tcW w:w="460" w:type="dxa"/>
            <w:vAlign w:val="bottom"/>
            <w:shd w:val="clear" w:color="auto" w:fill="EEEEEE"/>
          </w:tcPr>
          <w:p>
            <w:pPr>
              <w:spacing w:after="0"/>
              <w:rPr>
                <w:sz w:val="18"/>
                <w:szCs w:val="18"/>
                <w:color w:val="auto"/>
              </w:rPr>
            </w:pPr>
          </w:p>
        </w:tc>
        <w:tc>
          <w:tcPr>
            <w:tcW w:w="3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c/o Croff Enterprises, Inc.</w:t>
            </w:r>
          </w:p>
        </w:tc>
        <w:tc>
          <w:tcPr>
            <w:tcW w:w="460" w:type="dxa"/>
            <w:vAlign w:val="bottom"/>
            <w:shd w:val="clear" w:color="auto" w:fill="EEEEEE"/>
          </w:tcPr>
          <w:p>
            <w:pPr>
              <w:spacing w:after="0"/>
              <w:rPr>
                <w:sz w:val="18"/>
                <w:szCs w:val="18"/>
                <w:color w:val="auto"/>
              </w:rPr>
            </w:pPr>
          </w:p>
        </w:tc>
        <w:tc>
          <w:tcPr>
            <w:tcW w:w="29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9903 Santa Monica Blvd., Suite 287</w:t>
            </w:r>
          </w:p>
        </w:tc>
        <w:tc>
          <w:tcPr>
            <w:tcW w:w="460" w:type="dxa"/>
            <w:vAlign w:val="bottom"/>
            <w:shd w:val="clear" w:color="auto" w:fill="EEEEEE"/>
          </w:tcPr>
          <w:p>
            <w:pPr>
              <w:spacing w:after="0"/>
              <w:rPr>
                <w:sz w:val="18"/>
                <w:szCs w:val="18"/>
                <w:color w:val="auto"/>
              </w:rPr>
            </w:pPr>
          </w:p>
        </w:tc>
        <w:tc>
          <w:tcPr>
            <w:tcW w:w="29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Beverly Hills, California 90212</w:t>
            </w:r>
          </w:p>
        </w:tc>
        <w:tc>
          <w:tcPr>
            <w:tcW w:w="460" w:type="dxa"/>
            <w:vAlign w:val="bottom"/>
            <w:shd w:val="clear" w:color="auto" w:fill="EEEEEE"/>
          </w:tcPr>
          <w:p>
            <w:pPr>
              <w:spacing w:after="0"/>
              <w:rPr>
                <w:sz w:val="18"/>
                <w:szCs w:val="18"/>
                <w:color w:val="auto"/>
              </w:rPr>
            </w:pPr>
          </w:p>
        </w:tc>
        <w:tc>
          <w:tcPr>
            <w:tcW w:w="29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David S. Hamilton</w:t>
            </w:r>
          </w:p>
        </w:tc>
        <w:tc>
          <w:tcPr>
            <w:tcW w:w="3440" w:type="dxa"/>
            <w:vAlign w:val="bottom"/>
            <w:gridSpan w:val="2"/>
            <w:shd w:val="clear" w:color="auto" w:fill="EEEEEE"/>
          </w:tcPr>
          <w:p>
            <w:pPr>
              <w:jc w:val="center"/>
              <w:ind w:left="371"/>
              <w:spacing w:after="0"/>
              <w:rPr>
                <w:sz w:val="20"/>
                <w:szCs w:val="20"/>
                <w:color w:val="auto"/>
              </w:rPr>
            </w:pPr>
            <w:r>
              <w:rPr>
                <w:rFonts w:ascii="Arial" w:cs="Arial" w:eastAsia="Arial" w:hAnsi="Arial"/>
                <w:sz w:val="18"/>
                <w:szCs w:val="18"/>
                <w:color w:val="auto"/>
                <w:w w:val="99"/>
              </w:rPr>
              <w:t>-0-</w:t>
            </w:r>
          </w:p>
        </w:tc>
        <w:tc>
          <w:tcPr>
            <w:tcW w:w="460" w:type="dxa"/>
            <w:vAlign w:val="bottom"/>
            <w:shd w:val="clear" w:color="auto" w:fill="EEEEEE"/>
          </w:tcPr>
          <w:p>
            <w:pPr>
              <w:spacing w:after="0"/>
              <w:rPr>
                <w:sz w:val="18"/>
                <w:szCs w:val="18"/>
                <w:color w:val="auto"/>
              </w:rPr>
            </w:pPr>
          </w:p>
        </w:tc>
        <w:tc>
          <w:tcPr>
            <w:tcW w:w="3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c/o Croff Enterprises, Inc.</w:t>
            </w:r>
          </w:p>
        </w:tc>
        <w:tc>
          <w:tcPr>
            <w:tcW w:w="460" w:type="dxa"/>
            <w:vAlign w:val="bottom"/>
            <w:shd w:val="clear" w:color="auto" w:fill="EEEEEE"/>
          </w:tcPr>
          <w:p>
            <w:pPr>
              <w:spacing w:after="0"/>
              <w:rPr>
                <w:sz w:val="18"/>
                <w:szCs w:val="18"/>
                <w:color w:val="auto"/>
              </w:rPr>
            </w:pPr>
          </w:p>
        </w:tc>
        <w:tc>
          <w:tcPr>
            <w:tcW w:w="29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9903 Santa Monica Blvd., Suite 287</w:t>
            </w:r>
          </w:p>
        </w:tc>
        <w:tc>
          <w:tcPr>
            <w:tcW w:w="460" w:type="dxa"/>
            <w:vAlign w:val="bottom"/>
            <w:shd w:val="clear" w:color="auto" w:fill="EEEEEE"/>
          </w:tcPr>
          <w:p>
            <w:pPr>
              <w:spacing w:after="0"/>
              <w:rPr>
                <w:sz w:val="18"/>
                <w:szCs w:val="18"/>
                <w:color w:val="auto"/>
              </w:rPr>
            </w:pPr>
          </w:p>
        </w:tc>
        <w:tc>
          <w:tcPr>
            <w:tcW w:w="29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Beverly Hills, California 90212</w:t>
            </w:r>
          </w:p>
        </w:tc>
        <w:tc>
          <w:tcPr>
            <w:tcW w:w="460" w:type="dxa"/>
            <w:vAlign w:val="bottom"/>
            <w:shd w:val="clear" w:color="auto" w:fill="EEEEEE"/>
          </w:tcPr>
          <w:p>
            <w:pPr>
              <w:spacing w:after="0"/>
              <w:rPr>
                <w:sz w:val="18"/>
                <w:szCs w:val="18"/>
                <w:color w:val="auto"/>
              </w:rPr>
            </w:pPr>
          </w:p>
        </w:tc>
        <w:tc>
          <w:tcPr>
            <w:tcW w:w="298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80" w:type="dxa"/>
            <w:vAlign w:val="bottom"/>
          </w:tcPr>
          <w:p>
            <w:pPr>
              <w:spacing w:after="0"/>
              <w:rPr>
                <w:sz w:val="18"/>
                <w:szCs w:val="18"/>
                <w:color w:val="auto"/>
              </w:rPr>
            </w:pPr>
          </w:p>
        </w:tc>
        <w:tc>
          <w:tcPr>
            <w:tcW w:w="344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shd w:val="clear" w:color="auto" w:fill="EEEEEE"/>
          </w:tcPr>
          <w:p>
            <w:pPr>
              <w:spacing w:after="0"/>
              <w:rPr>
                <w:sz w:val="20"/>
                <w:szCs w:val="20"/>
                <w:color w:val="auto"/>
              </w:rPr>
            </w:pPr>
            <w:r>
              <w:rPr>
                <w:rFonts w:ascii="Arial" w:cs="Arial" w:eastAsia="Arial" w:hAnsi="Arial"/>
                <w:sz w:val="18"/>
                <w:szCs w:val="18"/>
                <w:color w:val="auto"/>
              </w:rPr>
              <w:t>All officers and directors as a group (three persons)</w:t>
            </w:r>
          </w:p>
        </w:tc>
        <w:tc>
          <w:tcPr>
            <w:tcW w:w="3440" w:type="dxa"/>
            <w:vAlign w:val="bottom"/>
            <w:gridSpan w:val="2"/>
            <w:shd w:val="clear" w:color="auto" w:fill="EEEEEE"/>
          </w:tcPr>
          <w:p>
            <w:pPr>
              <w:jc w:val="center"/>
              <w:ind w:left="371"/>
              <w:spacing w:after="0"/>
              <w:rPr>
                <w:sz w:val="20"/>
                <w:szCs w:val="20"/>
                <w:color w:val="auto"/>
              </w:rPr>
            </w:pPr>
            <w:r>
              <w:rPr>
                <w:rFonts w:ascii="Arial" w:cs="Arial" w:eastAsia="Arial" w:hAnsi="Arial"/>
                <w:sz w:val="18"/>
                <w:szCs w:val="18"/>
                <w:color w:val="auto"/>
                <w:w w:val="99"/>
              </w:rPr>
              <w:t>-0-</w:t>
            </w:r>
          </w:p>
        </w:tc>
        <w:tc>
          <w:tcPr>
            <w:tcW w:w="460" w:type="dxa"/>
            <w:vAlign w:val="bottom"/>
            <w:shd w:val="clear" w:color="auto" w:fill="EEEEEE"/>
          </w:tcPr>
          <w:p>
            <w:pPr>
              <w:spacing w:after="0"/>
              <w:rPr>
                <w:sz w:val="18"/>
                <w:szCs w:val="18"/>
                <w:color w:val="auto"/>
              </w:rPr>
            </w:pPr>
          </w:p>
        </w:tc>
        <w:tc>
          <w:tcPr>
            <w:tcW w:w="30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4480" w:type="dxa"/>
            <w:vAlign w:val="bottom"/>
          </w:tcPr>
          <w:p>
            <w:pPr>
              <w:spacing w:after="0"/>
              <w:rPr>
                <w:sz w:val="20"/>
                <w:szCs w:val="20"/>
                <w:color w:val="auto"/>
              </w:rPr>
            </w:pPr>
            <w:r>
              <w:rPr>
                <w:rFonts w:ascii="Arial" w:cs="Arial" w:eastAsia="Arial" w:hAnsi="Arial"/>
                <w:sz w:val="22"/>
                <w:szCs w:val="22"/>
                <w:color w:val="auto"/>
              </w:rPr>
              <w:t>____________________</w:t>
            </w:r>
          </w:p>
        </w:tc>
        <w:tc>
          <w:tcPr>
            <w:tcW w:w="46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firstLine="656"/>
        <w:spacing w:after="0" w:line="259" w:lineRule="auto"/>
        <w:tabs>
          <w:tab w:leader="none" w:pos="953" w:val="left"/>
        </w:tabs>
        <w:numPr>
          <w:ilvl w:val="0"/>
          <w:numId w:val="3"/>
        </w:numPr>
        <w:rPr>
          <w:rFonts w:ascii="Arial" w:cs="Arial" w:eastAsia="Arial" w:hAnsi="Arial"/>
          <w:sz w:val="18"/>
          <w:szCs w:val="18"/>
          <w:color w:val="auto"/>
        </w:rPr>
      </w:pPr>
      <w:r>
        <w:rPr>
          <w:rFonts w:ascii="Arial" w:cs="Arial" w:eastAsia="Arial" w:hAnsi="Arial"/>
          <w:sz w:val="18"/>
          <w:szCs w:val="18"/>
          <w:color w:val="auto"/>
        </w:rPr>
        <w:t>Except where otherwise noted, to the Company's knowledge, the persons named in the table have sole voting and investment power with respect to all shares of common stock owned by them, subject to community property laws where applicable.</w:t>
      </w:r>
    </w:p>
    <w:p>
      <w:pPr>
        <w:spacing w:after="0" w:line="239" w:lineRule="exact"/>
        <w:rPr>
          <w:rFonts w:ascii="Arial" w:cs="Arial" w:eastAsia="Arial" w:hAnsi="Arial"/>
          <w:sz w:val="18"/>
          <w:szCs w:val="18"/>
          <w:color w:val="auto"/>
        </w:rPr>
      </w:pPr>
    </w:p>
    <w:p>
      <w:pPr>
        <w:ind w:left="960" w:hanging="30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1,018,099 shares of common stock outstanding.</w:t>
      </w:r>
    </w:p>
    <w:p>
      <w:pPr>
        <w:spacing w:after="0" w:line="279" w:lineRule="exact"/>
        <w:rPr>
          <w:rFonts w:ascii="Arial" w:cs="Arial" w:eastAsia="Arial" w:hAnsi="Arial"/>
          <w:sz w:val="18"/>
          <w:szCs w:val="18"/>
          <w:color w:val="auto"/>
        </w:rPr>
      </w:pPr>
    </w:p>
    <w:p>
      <w:pPr>
        <w:ind w:firstLine="656"/>
        <w:spacing w:after="0" w:line="277" w:lineRule="auto"/>
        <w:tabs>
          <w:tab w:leader="none" w:pos="1002"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250,000 shares that are subject to cancellation if certain conditions have not been met by June 17, 2009. See “Item 13. Certain Relationships and Related Transactions, and Director Independence,” below.</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no class of non-voting securities presently outstanding and currently has no securities authorized for issuance under any equity compensation plans.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Transactions with Related Persons</w:t>
      </w:r>
      <w:r>
        <w:rPr>
          <w:rFonts w:ascii="Arial" w:cs="Arial" w:eastAsia="Arial" w:hAnsi="Arial"/>
          <w:sz w:val="18"/>
          <w:szCs w:val="18"/>
          <w:color w:val="auto"/>
        </w:rPr>
        <w:t>. The following is a description of those transactions by the Company in the past two fiscal years or which are presently</w:t>
      </w:r>
      <w:r>
        <w:rPr>
          <w:rFonts w:ascii="Arial" w:cs="Arial" w:eastAsia="Arial" w:hAnsi="Arial"/>
          <w:sz w:val="18"/>
          <w:szCs w:val="18"/>
          <w:i w:val="1"/>
          <w:iCs w:val="1"/>
          <w:color w:val="auto"/>
        </w:rPr>
        <w:t xml:space="preserve"> </w:t>
      </w:r>
      <w:r>
        <w:rPr>
          <w:rFonts w:ascii="Arial" w:cs="Arial" w:eastAsia="Arial" w:hAnsi="Arial"/>
          <w:sz w:val="18"/>
          <w:szCs w:val="18"/>
          <w:color w:val="auto"/>
        </w:rPr>
        <w:t>proposed in which (i) any Company director, officer or greater than 5% shareholder (or a relative or spouse thereof, or any relative of such spouse) has or is to have a direct or indirect interest and (ii) the amount involved exceeds $2,749.</w:t>
      </w:r>
    </w:p>
    <w:p>
      <w:pPr>
        <w:spacing w:after="0" w:line="23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of June 18, 2008 , the Company and Terrace Lane, LLC (“TL”) entered into an agreement pursuant to which TL is to provide its services to locate one or more potential merger partner(s) for the Company. For those services, the Company has issued to TL 500,000 shares of restricted common stock; provided, however, that if, by June 17, 2009, TL has not located a potential merger partner that is acceptable to Croff (in its sole and absolute discretion), one-half of those shares will be automatically cancelled. The agreement terminates on June 17, 2009. TL is currently the owner of 63.5% of the Company’s outstanding common stock (see “Item 12. Security Ownership of Certain Beneficial Owners and Management and Related Stockholder Matters”).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a verbal agreement, Gregory R. Woodhill is paid $500 per month for acting as the Company’s Chief Executive Officer, Chief Financial Officer and Secretary. The agreement is terminable at any time by either party.</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fiscal year ended December 31, 2008, the Company paid David S. Hamilton (a director of the Company) $33,000 for legal services with respect to corporate and securities matters, including the preparation of filings with the SEC.</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Until June 17, 2008, the Company had an office sharing arrangement with Jenex Petroleum Corporation (“Jenex”), which is owned by Gerald L. Jensen, the Company’s former President. Pursuant to that arrangement, during 2007 and 2008, the Company paid Jenex for office space and all office services, including rent, phone, office supplies, secretarial space and accounting. The Company’s expenses for those services were $51,258 in fiscal 2007 and $-0- in fiscal 2008 through the date of termination.</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Until June 17, 2008, the Company retained the legal services of Jensen, Duffin, &amp; Dibb, LLP. Julian Jensen, a former director of the Company, is part of that law firm. Legal fees paid to that law firm were $28,073.83 in fiscal 2007 and $5,052 in fiscal 2008 through the date of termination.</w:t>
      </w:r>
    </w:p>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Director Independence. </w:t>
      </w:r>
      <w:r>
        <w:rPr>
          <w:rFonts w:ascii="Arial" w:cs="Arial" w:eastAsia="Arial" w:hAnsi="Arial"/>
          <w:sz w:val="18"/>
          <w:szCs w:val="18"/>
          <w:color w:val="auto"/>
        </w:rPr>
        <w:t>The Company currently has three directors: Gregory R. Woodhill, Michael Chester and David S. Hamilton. During fiscal 2008,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also had four other directors: Gerald L. Jensen, Richard H. Mandel, Jr., Julian D. Jensen and Harvey Fenster, each of whom resigned from their positions on or prior to June 17, 2008. The Company does not currently maintain separate audit, nominating or compensation committees. When necessary, the entire Board of Directors performs the tasks that would be required of those committees. Because the Company's common stock is quoted on the OTC Bulletin Board, there is no requirement that a majority of its Board of Directors or any committee be “independent” or that it adhere to any particular definition of “independence” with respect to its directors. The Company has, however, previously adopted the following definition of an independent director: “A director who is not an officer or employee of the Company, is not in a position to exercise control over other directors or shareholders and who holds less than 10% of the voting stock of the Company.” Based on that definition, two of the Company’s current directors (Michael Chester and David S. Hamilton) are “independent.”</w:t>
      </w:r>
    </w:p>
    <w:p>
      <w:pPr>
        <w:spacing w:after="0" w:line="24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Engagement of Auditor</w:t>
      </w:r>
      <w:r>
        <w:rPr>
          <w:rFonts w:ascii="Arial" w:cs="Arial" w:eastAsia="Arial" w:hAnsi="Arial"/>
          <w:sz w:val="17"/>
          <w:szCs w:val="17"/>
          <w:color w:val="auto"/>
        </w:rPr>
        <w:t>. The engagement of Ronald R. Chadwick, P.C. (the “Auditor”) as the Company’s independent auditor was approved in 2006 by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upon recommendation by the audit committee; that engagement was then ratified by the Company’s shareholders in December 2006. The Auditor is registered with the Public Company Accounting Oversight Board. As described above, the Company does not currently maintain a separate audit committee, with the Company’s entire Board of Directors performing any tasks required of that committee when appropriate. To date, there has been no need for the Company to establish any pre-approval policies and procedures with respect to the engagement of accountants.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2" w:name="page13"/>
    <w:bookmarkEnd w:id="12"/>
    <w:p>
      <w:pPr>
        <w:jc w:val="both"/>
        <w:spacing w:after="0" w:line="312"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 The aggregate fees billed in the fiscal years ended December 31, 2008 and 2007, for professional services rendered by the Auditor for the audit</w:t>
      </w:r>
      <w:r>
        <w:rPr>
          <w:rFonts w:ascii="Arial" w:cs="Arial" w:eastAsia="Arial" w:hAnsi="Arial"/>
          <w:sz w:val="16"/>
          <w:szCs w:val="16"/>
          <w:i w:val="1"/>
          <w:iCs w:val="1"/>
          <w:color w:val="auto"/>
        </w:rPr>
        <w:t xml:space="preserve"> </w:t>
      </w:r>
      <w:r>
        <w:rPr>
          <w:rFonts w:ascii="Arial" w:cs="Arial" w:eastAsia="Arial" w:hAnsi="Arial"/>
          <w:sz w:val="16"/>
          <w:szCs w:val="16"/>
          <w:color w:val="auto"/>
        </w:rPr>
        <w:t>of Croff’s annual financial statements and quarterly review of the financial statements included in its Form 10-K or services that are normally provided by an accountant in connection with statutory and regulatory filings or engagements for the fiscal year were $15,690 and $14,500, respectively.</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For the fiscal years ended December 31, 2008 and 2007, there were fees billed for services reasonably related to the performance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audit or review of the financial statements outside of those fees disclosed above under “Audit Fees.” For the fiscal years ended December 31, 2008 and 2007, Croff was billed a total of $5,000 and $2,375, respectively, by an accountant for consulting services in preparation for the annual audit and quarterly reviews of the financial statements and general accounting services.</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For the fiscal years ended December 31, 2008 and 2007, another separate accountant rendered services for tax compliance, tax advice, and tax</w:t>
      </w:r>
      <w:r>
        <w:rPr>
          <w:rFonts w:ascii="Arial" w:cs="Arial" w:eastAsia="Arial" w:hAnsi="Arial"/>
          <w:sz w:val="18"/>
          <w:szCs w:val="18"/>
          <w:i w:val="1"/>
          <w:iCs w:val="1"/>
          <w:color w:val="auto"/>
        </w:rPr>
        <w:t xml:space="preserve"> </w:t>
      </w:r>
      <w:r>
        <w:rPr>
          <w:rFonts w:ascii="Arial" w:cs="Arial" w:eastAsia="Arial" w:hAnsi="Arial"/>
          <w:sz w:val="18"/>
          <w:szCs w:val="18"/>
          <w:color w:val="auto"/>
        </w:rPr>
        <w:t>planning work for which Croff paid $2,500 and $2,300.</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83" w:lineRule="exact"/>
        <w:rPr>
          <w:sz w:val="20"/>
          <w:szCs w:val="20"/>
          <w:color w:val="auto"/>
        </w:rPr>
      </w:pPr>
    </w:p>
    <w:p>
      <w:pPr>
        <w:ind w:left="1040" w:hanging="343"/>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financial statements are filed as part of this report:</w:t>
      </w:r>
    </w:p>
    <w:p>
      <w:pPr>
        <w:spacing w:after="0" w:line="225" w:lineRule="exact"/>
        <w:rPr>
          <w:rFonts w:ascii="Arial" w:cs="Arial" w:eastAsia="Arial" w:hAnsi="Arial"/>
          <w:sz w:val="18"/>
          <w:szCs w:val="18"/>
          <w:color w:val="auto"/>
        </w:rPr>
      </w:pPr>
    </w:p>
    <w:p>
      <w:pPr>
        <w:ind w:left="1040"/>
        <w:spacing w:after="0" w:line="277" w:lineRule="auto"/>
        <w:rPr>
          <w:rFonts w:ascii="Arial" w:cs="Arial" w:eastAsia="Arial" w:hAnsi="Arial"/>
          <w:sz w:val="18"/>
          <w:szCs w:val="18"/>
          <w:color w:val="auto"/>
        </w:rPr>
      </w:pPr>
      <w:r>
        <w:rPr>
          <w:rFonts w:ascii="Arial" w:cs="Arial" w:eastAsia="Arial" w:hAnsi="Arial"/>
          <w:sz w:val="18"/>
          <w:szCs w:val="18"/>
          <w:color w:val="auto"/>
        </w:rPr>
        <w:t>Reference is made to the Index to Financial Statements on page F-1 for a listing of the Company’s financial statements and notes thereto included with this report on Form 10-K.</w:t>
      </w:r>
    </w:p>
    <w:p>
      <w:pPr>
        <w:spacing w:after="0" w:line="170" w:lineRule="exact"/>
        <w:rPr>
          <w:rFonts w:ascii="Arial" w:cs="Arial" w:eastAsia="Arial" w:hAnsi="Arial"/>
          <w:sz w:val="18"/>
          <w:szCs w:val="18"/>
          <w:color w:val="auto"/>
        </w:rPr>
      </w:pPr>
    </w:p>
    <w:p>
      <w:pPr>
        <w:ind w:left="1040" w:hanging="343"/>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financial statement schedules are filed as part of this report.</w:t>
      </w:r>
    </w:p>
    <w:p>
      <w:pPr>
        <w:spacing w:after="0" w:line="225" w:lineRule="exact"/>
        <w:rPr>
          <w:rFonts w:ascii="Arial" w:cs="Arial" w:eastAsia="Arial" w:hAnsi="Arial"/>
          <w:sz w:val="18"/>
          <w:szCs w:val="18"/>
          <w:color w:val="auto"/>
        </w:rPr>
      </w:pPr>
    </w:p>
    <w:p>
      <w:pPr>
        <w:ind w:left="1040" w:hanging="343"/>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exhibits are filed as part of this report:</w:t>
      </w:r>
    </w:p>
    <w:p>
      <w:pPr>
        <w:spacing w:after="0" w:line="225"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Reference is made to the Exhibit Index on page 15 for a listing of the exhibits included with this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-1356360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-1082040</wp:posOffset>
            </wp:positionV>
            <wp:extent cx="72466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-670560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-396240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24"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Dated: March 18, 2009</w:t>
      </w:r>
      <w:r>
        <w:rPr>
          <w:sz w:val="20"/>
          <w:szCs w:val="20"/>
          <w:color w:val="auto"/>
        </w:rPr>
        <w:tab/>
      </w:r>
      <w:r>
        <w:rPr>
          <w:rFonts w:ascii="Arial" w:cs="Arial" w:eastAsia="Arial" w:hAnsi="Arial"/>
          <w:sz w:val="16"/>
          <w:szCs w:val="16"/>
          <w:color w:val="auto"/>
        </w:rPr>
        <w:t>CROFF ENTERPRISES, INC.</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color w:val="auto"/>
        </w:rPr>
        <w:t>/s/ GREGORY R. WOODHILL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-7620</wp:posOffset>
            </wp:positionV>
            <wp:extent cx="20599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059940" cy="8890"/>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Gregory R. Woodhill, President and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Arial" w:cs="Arial" w:eastAsia="Arial" w:hAnsi="Arial"/>
                <w:sz w:val="18"/>
                <w:szCs w:val="18"/>
                <w:color w:val="auto"/>
              </w:rPr>
              <w:t>Dated: March 18, 2009</w:t>
            </w:r>
          </w:p>
        </w:tc>
        <w:tc>
          <w:tcPr>
            <w:tcW w:w="2080" w:type="dxa"/>
            <w:vAlign w:val="bottom"/>
          </w:tcPr>
          <w:p>
            <w:pPr>
              <w:spacing w:after="0"/>
              <w:rPr>
                <w:sz w:val="20"/>
                <w:szCs w:val="20"/>
                <w:color w:val="auto"/>
              </w:rPr>
            </w:pPr>
          </w:p>
        </w:tc>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/s/ GREGORY R. WOODHILL</w:t>
            </w:r>
          </w:p>
        </w:tc>
      </w:tr>
      <w:tr>
        <w:trPr>
          <w:trHeight w:val="108"/>
        </w:trPr>
        <w:tc>
          <w:tcPr>
            <w:tcW w:w="36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2260" w:type="dxa"/>
            <w:vAlign w:val="bottom"/>
          </w:tcPr>
          <w:p>
            <w:pPr>
              <w:spacing w:after="0"/>
              <w:rPr>
                <w:sz w:val="9"/>
                <w:szCs w:val="9"/>
                <w:color w:val="auto"/>
              </w:rPr>
            </w:pPr>
          </w:p>
        </w:tc>
      </w:tr>
      <w:tr>
        <w:trPr>
          <w:trHeight w:val="303"/>
        </w:trPr>
        <w:tc>
          <w:tcPr>
            <w:tcW w:w="36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Gregory R. Woodhill, President, Chief Financial</w:t>
            </w:r>
          </w:p>
        </w:tc>
      </w:tr>
      <w:tr>
        <w:trPr>
          <w:trHeight w:val="230"/>
        </w:trPr>
        <w:tc>
          <w:tcPr>
            <w:tcW w:w="36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Officer and Director</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Dated: March 18, 2009</w:t>
            </w:r>
          </w:p>
        </w:tc>
        <w:tc>
          <w:tcPr>
            <w:tcW w:w="208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/s/ DAVID S. HAMILTON</w:t>
            </w:r>
          </w:p>
        </w:tc>
      </w:tr>
      <w:tr>
        <w:trPr>
          <w:trHeight w:val="108"/>
        </w:trPr>
        <w:tc>
          <w:tcPr>
            <w:tcW w:w="36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2260" w:type="dxa"/>
            <w:vAlign w:val="bottom"/>
          </w:tcPr>
          <w:p>
            <w:pPr>
              <w:spacing w:after="0"/>
              <w:rPr>
                <w:sz w:val="9"/>
                <w:szCs w:val="9"/>
                <w:color w:val="auto"/>
              </w:rPr>
            </w:pPr>
          </w:p>
        </w:tc>
      </w:tr>
      <w:tr>
        <w:trPr>
          <w:trHeight w:val="318"/>
        </w:trPr>
        <w:tc>
          <w:tcPr>
            <w:tcW w:w="36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David S. Hamilton, Director</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Dated: March 18, 2009</w:t>
            </w:r>
          </w:p>
        </w:tc>
        <w:tc>
          <w:tcPr>
            <w:tcW w:w="208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b w:val="1"/>
                <w:bCs w:val="1"/>
                <w:color w:val="auto"/>
              </w:rPr>
              <w:t>/s/ MICHAEL CHESTER</w:t>
            </w:r>
          </w:p>
        </w:tc>
      </w:tr>
      <w:tr>
        <w:trPr>
          <w:trHeight w:val="108"/>
        </w:trPr>
        <w:tc>
          <w:tcPr>
            <w:tcW w:w="36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2260" w:type="dxa"/>
            <w:vAlign w:val="bottom"/>
          </w:tcPr>
          <w:p>
            <w:pPr>
              <w:spacing w:after="0"/>
              <w:rPr>
                <w:sz w:val="9"/>
                <w:szCs w:val="9"/>
                <w:color w:val="auto"/>
              </w:rPr>
            </w:pPr>
          </w:p>
        </w:tc>
      </w:tr>
      <w:tr>
        <w:trPr>
          <w:trHeight w:val="318"/>
        </w:trPr>
        <w:tc>
          <w:tcPr>
            <w:tcW w:w="36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Michael Chester, Director</w:t>
            </w:r>
          </w:p>
        </w:tc>
      </w:tr>
      <w:tr>
        <w:trPr>
          <w:trHeight w:val="905"/>
        </w:trPr>
        <w:tc>
          <w:tcPr>
            <w:tcW w:w="3620" w:type="dxa"/>
            <w:vAlign w:val="bottom"/>
          </w:tcPr>
          <w:p>
            <w:pPr>
              <w:spacing w:after="0"/>
              <w:rPr>
                <w:sz w:val="24"/>
                <w:szCs w:val="24"/>
                <w:color w:val="auto"/>
              </w:rPr>
            </w:pPr>
          </w:p>
        </w:tc>
        <w:tc>
          <w:tcPr>
            <w:tcW w:w="5540" w:type="dxa"/>
            <w:vAlign w:val="bottom"/>
            <w:gridSpan w:val="2"/>
          </w:tcPr>
          <w:p>
            <w:pPr>
              <w:jc w:val="right"/>
              <w:ind w:right="3210"/>
              <w:spacing w:after="0"/>
              <w:rPr>
                <w:sz w:val="20"/>
                <w:szCs w:val="20"/>
                <w:color w:val="auto"/>
              </w:rPr>
            </w:pPr>
            <w:r>
              <w:rPr>
                <w:rFonts w:ascii="Arial" w:cs="Arial" w:eastAsia="Arial" w:hAnsi="Arial"/>
                <w:sz w:val="18"/>
                <w:szCs w:val="18"/>
                <w:color w:val="auto"/>
              </w:rPr>
              <w:t>-14-</w:t>
            </w:r>
          </w:p>
        </w:tc>
        <w:tc>
          <w:tcPr>
            <w:tcW w:w="2260" w:type="dxa"/>
            <w:vAlign w:val="bottom"/>
          </w:tcPr>
          <w:p>
            <w:pPr>
              <w:spacing w:after="0"/>
              <w:rPr>
                <w:sz w:val="24"/>
                <w:szCs w:val="24"/>
                <w:color w:val="auto"/>
              </w:rPr>
            </w:pPr>
          </w:p>
        </w:tc>
      </w:tr>
      <w:tr>
        <w:trPr>
          <w:trHeight w:val="108"/>
        </w:trPr>
        <w:tc>
          <w:tcPr>
            <w:tcW w:w="3620" w:type="dxa"/>
            <w:vAlign w:val="bottom"/>
            <w:tcBorders>
              <w:bottom w:val="single" w:sz="8" w:color="808080"/>
            </w:tcBorders>
          </w:tcPr>
          <w:p>
            <w:pPr>
              <w:spacing w:after="0"/>
              <w:rPr>
                <w:sz w:val="9"/>
                <w:szCs w:val="9"/>
                <w:color w:val="auto"/>
              </w:rPr>
            </w:pPr>
          </w:p>
        </w:tc>
        <w:tc>
          <w:tcPr>
            <w:tcW w:w="2080" w:type="dxa"/>
            <w:vAlign w:val="bottom"/>
            <w:tcBorders>
              <w:bottom w:val="single" w:sz="8" w:color="808080"/>
            </w:tcBorders>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22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760" w:type="dxa"/>
            <w:vAlign w:val="bottom"/>
          </w:tcPr>
          <w:p>
            <w:pPr>
              <w:ind w:left="1360"/>
              <w:spacing w:after="0"/>
              <w:rPr>
                <w:sz w:val="20"/>
                <w:szCs w:val="20"/>
                <w:color w:val="auto"/>
              </w:rPr>
            </w:pPr>
            <w:r>
              <w:rPr>
                <w:rFonts w:ascii="Arial" w:cs="Arial" w:eastAsia="Arial" w:hAnsi="Arial"/>
                <w:sz w:val="18"/>
                <w:szCs w:val="18"/>
                <w:b w:val="1"/>
                <w:bCs w:val="1"/>
                <w:color w:val="auto"/>
              </w:rPr>
              <w:t>EXHIBIT INDEX</w:t>
            </w:r>
          </w:p>
        </w:tc>
      </w:tr>
      <w:tr>
        <w:trPr>
          <w:trHeight w:val="716"/>
        </w:trPr>
        <w:tc>
          <w:tcPr>
            <w:tcW w:w="2760" w:type="dxa"/>
            <w:vAlign w:val="bottom"/>
            <w:gridSpan w:val="3"/>
          </w:tcPr>
          <w:p>
            <w:pPr>
              <w:ind w:left="300"/>
              <w:spacing w:after="0"/>
              <w:rPr>
                <w:sz w:val="20"/>
                <w:szCs w:val="20"/>
                <w:color w:val="auto"/>
              </w:rPr>
            </w:pPr>
            <w:r>
              <w:rPr>
                <w:rFonts w:ascii="Arial" w:cs="Arial" w:eastAsia="Arial" w:hAnsi="Arial"/>
                <w:sz w:val="18"/>
                <w:szCs w:val="18"/>
                <w:b w:val="1"/>
                <w:bCs w:val="1"/>
                <w:color w:val="auto"/>
              </w:rPr>
              <w:t>Exhibit Number</w:t>
            </w:r>
          </w:p>
        </w:tc>
        <w:tc>
          <w:tcPr>
            <w:tcW w:w="86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37"/>
        </w:trPr>
        <w:tc>
          <w:tcPr>
            <w:tcW w:w="300" w:type="dxa"/>
            <w:vAlign w:val="bottom"/>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7760" w:type="dxa"/>
            <w:vAlign w:val="bottom"/>
          </w:tcPr>
          <w:p>
            <w:pPr>
              <w:spacing w:after="0"/>
              <w:rPr>
                <w:sz w:val="20"/>
                <w:szCs w:val="20"/>
                <w:color w:val="auto"/>
              </w:rPr>
            </w:pPr>
          </w:p>
        </w:tc>
      </w:tr>
      <w:tr>
        <w:trPr>
          <w:trHeight w:val="216"/>
        </w:trPr>
        <w:tc>
          <w:tcPr>
            <w:tcW w:w="154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rPr>
              <w:t>10</w:t>
            </w:r>
          </w:p>
        </w:tc>
        <w:tc>
          <w:tcPr>
            <w:tcW w:w="1220" w:type="dxa"/>
            <w:vAlign w:val="bottom"/>
            <w:shd w:val="clear" w:color="auto" w:fill="EEEEEE"/>
          </w:tcPr>
          <w:p>
            <w:pPr>
              <w:spacing w:after="0"/>
              <w:rPr>
                <w:sz w:val="18"/>
                <w:szCs w:val="18"/>
                <w:color w:val="auto"/>
              </w:rPr>
            </w:pPr>
          </w:p>
        </w:tc>
        <w:tc>
          <w:tcPr>
            <w:tcW w:w="8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Share Issuance Agreement between the Company and Terrace Lane, LLC dated as of June 18, 2008.</w:t>
            </w:r>
          </w:p>
        </w:tc>
      </w:tr>
      <w:tr>
        <w:trPr>
          <w:trHeight w:val="216"/>
        </w:trPr>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760" w:type="dxa"/>
            <w:vAlign w:val="bottom"/>
          </w:tcPr>
          <w:p>
            <w:pPr>
              <w:spacing w:after="0"/>
              <w:rPr>
                <w:sz w:val="18"/>
                <w:szCs w:val="18"/>
                <w:color w:val="auto"/>
              </w:rPr>
            </w:pPr>
          </w:p>
        </w:tc>
      </w:tr>
      <w:tr>
        <w:trPr>
          <w:trHeight w:val="216"/>
        </w:trPr>
        <w:tc>
          <w:tcPr>
            <w:tcW w:w="154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rPr>
              <w:t>14</w:t>
            </w:r>
          </w:p>
        </w:tc>
        <w:tc>
          <w:tcPr>
            <w:tcW w:w="1220" w:type="dxa"/>
            <w:vAlign w:val="bottom"/>
            <w:shd w:val="clear" w:color="auto" w:fill="EEEEEE"/>
          </w:tcPr>
          <w:p>
            <w:pPr>
              <w:spacing w:after="0"/>
              <w:rPr>
                <w:sz w:val="18"/>
                <w:szCs w:val="18"/>
                <w:color w:val="auto"/>
              </w:rPr>
            </w:pPr>
          </w:p>
        </w:tc>
        <w:tc>
          <w:tcPr>
            <w:tcW w:w="8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Code of Ethics</w:t>
            </w:r>
          </w:p>
        </w:tc>
      </w:tr>
      <w:tr>
        <w:trPr>
          <w:trHeight w:val="216"/>
        </w:trPr>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760" w:type="dxa"/>
            <w:vAlign w:val="bottom"/>
          </w:tcPr>
          <w:p>
            <w:pPr>
              <w:spacing w:after="0"/>
              <w:rPr>
                <w:sz w:val="18"/>
                <w:szCs w:val="18"/>
                <w:color w:val="auto"/>
              </w:rPr>
            </w:pPr>
          </w:p>
        </w:tc>
      </w:tr>
      <w:tr>
        <w:trPr>
          <w:trHeight w:val="216"/>
        </w:trPr>
        <w:tc>
          <w:tcPr>
            <w:tcW w:w="154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rPr>
              <w:t>31</w:t>
            </w:r>
          </w:p>
        </w:tc>
        <w:tc>
          <w:tcPr>
            <w:tcW w:w="1220" w:type="dxa"/>
            <w:vAlign w:val="bottom"/>
            <w:shd w:val="clear" w:color="auto" w:fill="EEEEEE"/>
          </w:tcPr>
          <w:p>
            <w:pPr>
              <w:spacing w:after="0"/>
              <w:rPr>
                <w:sz w:val="18"/>
                <w:szCs w:val="18"/>
                <w:color w:val="auto"/>
              </w:rPr>
            </w:pPr>
          </w:p>
        </w:tc>
        <w:tc>
          <w:tcPr>
            <w:tcW w:w="8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Rule 13a-14(a)/15d-14(a) Certification.</w:t>
            </w:r>
          </w:p>
        </w:tc>
      </w:tr>
      <w:tr>
        <w:trPr>
          <w:trHeight w:val="216"/>
        </w:trPr>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760" w:type="dxa"/>
            <w:vAlign w:val="bottom"/>
          </w:tcPr>
          <w:p>
            <w:pPr>
              <w:spacing w:after="0"/>
              <w:rPr>
                <w:sz w:val="18"/>
                <w:szCs w:val="18"/>
                <w:color w:val="auto"/>
              </w:rPr>
            </w:pPr>
          </w:p>
        </w:tc>
      </w:tr>
      <w:tr>
        <w:trPr>
          <w:trHeight w:val="216"/>
        </w:trPr>
        <w:tc>
          <w:tcPr>
            <w:tcW w:w="154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rPr>
              <w:t>32</w:t>
            </w:r>
          </w:p>
        </w:tc>
        <w:tc>
          <w:tcPr>
            <w:tcW w:w="1220" w:type="dxa"/>
            <w:vAlign w:val="bottom"/>
            <w:shd w:val="clear" w:color="auto" w:fill="EEEEEE"/>
          </w:tcPr>
          <w:p>
            <w:pPr>
              <w:spacing w:after="0"/>
              <w:rPr>
                <w:sz w:val="18"/>
                <w:szCs w:val="18"/>
                <w:color w:val="auto"/>
              </w:rPr>
            </w:pPr>
          </w:p>
        </w:tc>
        <w:tc>
          <w:tcPr>
            <w:tcW w:w="8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Section 1350 Certification.</w:t>
            </w:r>
          </w:p>
        </w:tc>
      </w:tr>
      <w:tr>
        <w:trPr>
          <w:trHeight w:val="878"/>
        </w:trPr>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60" w:type="dxa"/>
            <w:vAlign w:val="bottom"/>
            <w:gridSpan w:val="2"/>
          </w:tcPr>
          <w:p>
            <w:pPr>
              <w:ind w:left="2860"/>
              <w:spacing w:after="0"/>
              <w:rPr>
                <w:sz w:val="20"/>
                <w:szCs w:val="20"/>
                <w:color w:val="auto"/>
              </w:rPr>
            </w:pPr>
            <w:r>
              <w:rPr>
                <w:rFonts w:ascii="Arial" w:cs="Arial" w:eastAsia="Arial" w:hAnsi="Arial"/>
                <w:sz w:val="18"/>
                <w:szCs w:val="18"/>
                <w:color w:val="auto"/>
              </w:rPr>
              <w:t>15</w:t>
            </w:r>
          </w:p>
        </w:tc>
      </w:tr>
      <w:tr>
        <w:trPr>
          <w:trHeight w:val="108"/>
        </w:trPr>
        <w:tc>
          <w:tcPr>
            <w:tcW w:w="30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77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560" w:type="dxa"/>
            <w:vAlign w:val="bottom"/>
            <w:gridSpan w:val="2"/>
          </w:tcPr>
          <w:p>
            <w:pPr>
              <w:spacing w:after="0"/>
              <w:rPr>
                <w:sz w:val="20"/>
                <w:szCs w:val="20"/>
                <w:color w:val="auto"/>
              </w:rPr>
            </w:pPr>
            <w:r>
              <w:rPr>
                <w:rFonts w:ascii="Arial" w:cs="Arial" w:eastAsia="Arial" w:hAnsi="Arial"/>
                <w:sz w:val="18"/>
                <w:szCs w:val="18"/>
                <w:b w:val="1"/>
                <w:bCs w:val="1"/>
                <w:color w:val="auto"/>
              </w:rPr>
              <w:t>Page No.</w:t>
            </w:r>
          </w:p>
        </w:tc>
      </w:tr>
      <w:tr>
        <w:trPr>
          <w:trHeight w:val="237"/>
        </w:trPr>
        <w:tc>
          <w:tcPr>
            <w:tcW w:w="526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5260" w:type="dxa"/>
            <w:vAlign w:val="bottom"/>
            <w:shd w:val="clear" w:color="auto" w:fill="EEEEEE"/>
          </w:tcPr>
          <w:p>
            <w:pPr>
              <w:ind w:left="720"/>
              <w:spacing w:after="0"/>
              <w:rPr>
                <w:sz w:val="20"/>
                <w:szCs w:val="20"/>
                <w:color w:val="auto"/>
              </w:rPr>
            </w:pPr>
            <w:r>
              <w:rPr>
                <w:rFonts w:ascii="Arial" w:cs="Arial" w:eastAsia="Arial" w:hAnsi="Arial"/>
                <w:sz w:val="18"/>
                <w:szCs w:val="18"/>
                <w:color w:val="auto"/>
                <w:w w:val="98"/>
              </w:rPr>
              <w:t>Report of Independent Registered Public Accounting Firm</w:t>
            </w:r>
          </w:p>
        </w:tc>
        <w:tc>
          <w:tcPr>
            <w:tcW w:w="46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F-2</w:t>
            </w:r>
          </w:p>
        </w:tc>
      </w:tr>
      <w:tr>
        <w:trPr>
          <w:trHeight w:val="216"/>
        </w:trPr>
        <w:tc>
          <w:tcPr>
            <w:tcW w:w="52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260" w:type="dxa"/>
            <w:vAlign w:val="bottom"/>
            <w:shd w:val="clear" w:color="auto" w:fill="EEEEEE"/>
          </w:tcPr>
          <w:p>
            <w:pPr>
              <w:ind w:left="720"/>
              <w:spacing w:after="0"/>
              <w:rPr>
                <w:sz w:val="20"/>
                <w:szCs w:val="20"/>
                <w:color w:val="auto"/>
              </w:rPr>
            </w:pPr>
            <w:r>
              <w:rPr>
                <w:rFonts w:ascii="Arial" w:cs="Arial" w:eastAsia="Arial" w:hAnsi="Arial"/>
                <w:sz w:val="18"/>
                <w:szCs w:val="18"/>
                <w:color w:val="auto"/>
              </w:rPr>
              <w:t>Balance Sheet</w:t>
            </w:r>
          </w:p>
        </w:tc>
        <w:tc>
          <w:tcPr>
            <w:tcW w:w="46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F-3</w:t>
            </w:r>
          </w:p>
        </w:tc>
      </w:tr>
      <w:tr>
        <w:trPr>
          <w:trHeight w:val="216"/>
        </w:trPr>
        <w:tc>
          <w:tcPr>
            <w:tcW w:w="5260" w:type="dxa"/>
            <w:vAlign w:val="bottom"/>
          </w:tcPr>
          <w:p>
            <w:pPr>
              <w:ind w:left="880"/>
              <w:spacing w:after="0"/>
              <w:rPr>
                <w:sz w:val="20"/>
                <w:szCs w:val="20"/>
                <w:color w:val="auto"/>
              </w:rPr>
            </w:pPr>
            <w:r>
              <w:rPr>
                <w:rFonts w:ascii="Arial" w:cs="Arial" w:eastAsia="Arial" w:hAnsi="Arial"/>
                <w:sz w:val="18"/>
                <w:szCs w:val="18"/>
                <w:color w:val="auto"/>
              </w:rPr>
              <w:t>At December 31, 2008</w:t>
            </w:r>
          </w:p>
        </w:tc>
        <w:tc>
          <w:tcPr>
            <w:tcW w:w="4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260" w:type="dxa"/>
            <w:vAlign w:val="bottom"/>
            <w:shd w:val="clear" w:color="auto" w:fill="EEEEEE"/>
          </w:tcPr>
          <w:p>
            <w:pPr>
              <w:spacing w:after="0"/>
              <w:rPr>
                <w:sz w:val="18"/>
                <w:szCs w:val="18"/>
                <w:color w:val="auto"/>
              </w:rPr>
            </w:pPr>
          </w:p>
        </w:tc>
        <w:tc>
          <w:tcPr>
            <w:tcW w:w="46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r>
      <w:tr>
        <w:trPr>
          <w:trHeight w:val="216"/>
        </w:trPr>
        <w:tc>
          <w:tcPr>
            <w:tcW w:w="5260" w:type="dxa"/>
            <w:vAlign w:val="bottom"/>
          </w:tcPr>
          <w:p>
            <w:pPr>
              <w:ind w:left="720"/>
              <w:spacing w:after="0"/>
              <w:rPr>
                <w:sz w:val="20"/>
                <w:szCs w:val="20"/>
                <w:color w:val="auto"/>
              </w:rPr>
            </w:pPr>
            <w:r>
              <w:rPr>
                <w:rFonts w:ascii="Arial" w:cs="Arial" w:eastAsia="Arial" w:hAnsi="Arial"/>
                <w:sz w:val="18"/>
                <w:szCs w:val="18"/>
                <w:color w:val="auto"/>
              </w:rPr>
              <w:t>Statements of Operations</w:t>
            </w:r>
          </w:p>
        </w:tc>
        <w:tc>
          <w:tcPr>
            <w:tcW w:w="46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F-4</w:t>
            </w:r>
          </w:p>
        </w:tc>
      </w:tr>
      <w:tr>
        <w:trPr>
          <w:trHeight w:val="216"/>
        </w:trPr>
        <w:tc>
          <w:tcPr>
            <w:tcW w:w="5260" w:type="dxa"/>
            <w:vAlign w:val="bottom"/>
            <w:shd w:val="clear" w:color="auto" w:fill="EEEEEE"/>
          </w:tcPr>
          <w:p>
            <w:pPr>
              <w:ind w:left="880"/>
              <w:spacing w:after="0"/>
              <w:rPr>
                <w:sz w:val="20"/>
                <w:szCs w:val="20"/>
                <w:color w:val="auto"/>
              </w:rPr>
            </w:pPr>
            <w:r>
              <w:rPr>
                <w:rFonts w:ascii="Arial" w:cs="Arial" w:eastAsia="Arial" w:hAnsi="Arial"/>
                <w:sz w:val="18"/>
                <w:szCs w:val="18"/>
                <w:color w:val="auto"/>
              </w:rPr>
              <w:t>For the Years Ended December 31, 2008 and 2007</w:t>
            </w:r>
          </w:p>
        </w:tc>
        <w:tc>
          <w:tcPr>
            <w:tcW w:w="46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260" w:type="dxa"/>
            <w:vAlign w:val="bottom"/>
            <w:shd w:val="clear" w:color="auto" w:fill="EEEEEE"/>
          </w:tcPr>
          <w:p>
            <w:pPr>
              <w:ind w:left="720"/>
              <w:spacing w:after="0"/>
              <w:rPr>
                <w:sz w:val="20"/>
                <w:szCs w:val="20"/>
                <w:color w:val="auto"/>
              </w:rPr>
            </w:pPr>
            <w:r>
              <w:rPr>
                <w:rFonts w:ascii="Arial" w:cs="Arial" w:eastAsia="Arial" w:hAnsi="Arial"/>
                <w:sz w:val="18"/>
                <w:szCs w:val="18"/>
                <w:color w:val="auto"/>
              </w:rPr>
              <w:t>Statements of Stockholders’ Equity</w:t>
            </w:r>
          </w:p>
        </w:tc>
        <w:tc>
          <w:tcPr>
            <w:tcW w:w="46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F-5</w:t>
            </w:r>
          </w:p>
        </w:tc>
      </w:tr>
      <w:tr>
        <w:trPr>
          <w:trHeight w:val="216"/>
        </w:trPr>
        <w:tc>
          <w:tcPr>
            <w:tcW w:w="5260" w:type="dxa"/>
            <w:vAlign w:val="bottom"/>
          </w:tcPr>
          <w:p>
            <w:pPr>
              <w:ind w:left="880"/>
              <w:spacing w:after="0"/>
              <w:rPr>
                <w:sz w:val="20"/>
                <w:szCs w:val="20"/>
                <w:color w:val="auto"/>
              </w:rPr>
            </w:pPr>
            <w:r>
              <w:rPr>
                <w:rFonts w:ascii="Arial" w:cs="Arial" w:eastAsia="Arial" w:hAnsi="Arial"/>
                <w:sz w:val="18"/>
                <w:szCs w:val="18"/>
                <w:color w:val="auto"/>
              </w:rPr>
              <w:t>For the Years Ended December 31, 2008 and 2007</w:t>
            </w:r>
          </w:p>
        </w:tc>
        <w:tc>
          <w:tcPr>
            <w:tcW w:w="4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260" w:type="dxa"/>
            <w:vAlign w:val="bottom"/>
            <w:shd w:val="clear" w:color="auto" w:fill="EEEEEE"/>
          </w:tcPr>
          <w:p>
            <w:pPr>
              <w:spacing w:after="0"/>
              <w:rPr>
                <w:sz w:val="18"/>
                <w:szCs w:val="18"/>
                <w:color w:val="auto"/>
              </w:rPr>
            </w:pPr>
          </w:p>
        </w:tc>
        <w:tc>
          <w:tcPr>
            <w:tcW w:w="46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r>
      <w:tr>
        <w:trPr>
          <w:trHeight w:val="216"/>
        </w:trPr>
        <w:tc>
          <w:tcPr>
            <w:tcW w:w="5260" w:type="dxa"/>
            <w:vAlign w:val="bottom"/>
          </w:tcPr>
          <w:p>
            <w:pPr>
              <w:ind w:left="720"/>
              <w:spacing w:after="0"/>
              <w:rPr>
                <w:sz w:val="20"/>
                <w:szCs w:val="20"/>
                <w:color w:val="auto"/>
              </w:rPr>
            </w:pPr>
            <w:r>
              <w:rPr>
                <w:rFonts w:ascii="Arial" w:cs="Arial" w:eastAsia="Arial" w:hAnsi="Arial"/>
                <w:sz w:val="18"/>
                <w:szCs w:val="18"/>
                <w:color w:val="auto"/>
              </w:rPr>
              <w:t>Statements of Cash Flows</w:t>
            </w:r>
          </w:p>
        </w:tc>
        <w:tc>
          <w:tcPr>
            <w:tcW w:w="46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F-6</w:t>
            </w:r>
          </w:p>
        </w:tc>
      </w:tr>
      <w:tr>
        <w:trPr>
          <w:trHeight w:val="216"/>
        </w:trPr>
        <w:tc>
          <w:tcPr>
            <w:tcW w:w="5260" w:type="dxa"/>
            <w:vAlign w:val="bottom"/>
            <w:shd w:val="clear" w:color="auto" w:fill="EEEEEE"/>
          </w:tcPr>
          <w:p>
            <w:pPr>
              <w:ind w:left="880"/>
              <w:spacing w:after="0"/>
              <w:rPr>
                <w:sz w:val="20"/>
                <w:szCs w:val="20"/>
                <w:color w:val="auto"/>
              </w:rPr>
            </w:pPr>
            <w:r>
              <w:rPr>
                <w:rFonts w:ascii="Arial" w:cs="Arial" w:eastAsia="Arial" w:hAnsi="Arial"/>
                <w:sz w:val="18"/>
                <w:szCs w:val="18"/>
                <w:color w:val="auto"/>
              </w:rPr>
              <w:t>For the Years Ended December 31, 2008 and 2007</w:t>
            </w:r>
          </w:p>
        </w:tc>
        <w:tc>
          <w:tcPr>
            <w:tcW w:w="46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r>
      <w:tr>
        <w:trPr>
          <w:trHeight w:val="216"/>
        </w:trPr>
        <w:tc>
          <w:tcPr>
            <w:tcW w:w="52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260" w:type="dxa"/>
            <w:vAlign w:val="bottom"/>
            <w:shd w:val="clear" w:color="auto" w:fill="EEEEEE"/>
          </w:tcPr>
          <w:p>
            <w:pPr>
              <w:ind w:left="720"/>
              <w:spacing w:after="0"/>
              <w:rPr>
                <w:sz w:val="20"/>
                <w:szCs w:val="20"/>
                <w:color w:val="auto"/>
              </w:rPr>
            </w:pPr>
            <w:r>
              <w:rPr>
                <w:rFonts w:ascii="Arial" w:cs="Arial" w:eastAsia="Arial" w:hAnsi="Arial"/>
                <w:sz w:val="18"/>
                <w:szCs w:val="18"/>
                <w:color w:val="auto"/>
              </w:rPr>
              <w:t>Notes to Financial Statements</w:t>
            </w:r>
          </w:p>
        </w:tc>
        <w:tc>
          <w:tcPr>
            <w:tcW w:w="4600" w:type="dxa"/>
            <w:vAlign w:val="bottom"/>
            <w:shd w:val="clear" w:color="auto" w:fill="EEEEEE"/>
          </w:tcPr>
          <w:p>
            <w:pPr>
              <w:spacing w:after="0"/>
              <w:rPr>
                <w:sz w:val="18"/>
                <w:szCs w:val="18"/>
                <w:color w:val="auto"/>
              </w:rPr>
            </w:pPr>
          </w:p>
        </w:tc>
        <w:tc>
          <w:tcPr>
            <w:tcW w:w="15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F-7 to F-11</w:t>
            </w:r>
          </w:p>
        </w:tc>
      </w:tr>
      <w:tr>
        <w:trPr>
          <w:trHeight w:val="878"/>
        </w:trPr>
        <w:tc>
          <w:tcPr>
            <w:tcW w:w="5260" w:type="dxa"/>
            <w:vAlign w:val="bottom"/>
          </w:tcPr>
          <w:p>
            <w:pPr>
              <w:spacing w:after="0"/>
              <w:rPr>
                <w:sz w:val="24"/>
                <w:szCs w:val="24"/>
                <w:color w:val="auto"/>
              </w:rPr>
            </w:pPr>
          </w:p>
        </w:tc>
        <w:tc>
          <w:tcPr>
            <w:tcW w:w="6160" w:type="dxa"/>
            <w:vAlign w:val="bottom"/>
            <w:gridSpan w:val="3"/>
          </w:tcPr>
          <w:p>
            <w:pPr>
              <w:ind w:left="320"/>
              <w:spacing w:after="0"/>
              <w:rPr>
                <w:sz w:val="20"/>
                <w:szCs w:val="20"/>
                <w:color w:val="auto"/>
              </w:rPr>
            </w:pPr>
            <w:r>
              <w:rPr>
                <w:rFonts w:ascii="Arial" w:cs="Arial" w:eastAsia="Arial" w:hAnsi="Arial"/>
                <w:sz w:val="18"/>
                <w:szCs w:val="18"/>
                <w:color w:val="auto"/>
              </w:rPr>
              <w:t>F-1</w:t>
            </w:r>
          </w:p>
        </w:tc>
      </w:tr>
      <w:tr>
        <w:trPr>
          <w:trHeight w:val="108"/>
        </w:trPr>
        <w:tc>
          <w:tcPr>
            <w:tcW w:w="5260" w:type="dxa"/>
            <w:vAlign w:val="bottom"/>
            <w:tcBorders>
              <w:bottom w:val="single" w:sz="8" w:color="808080"/>
            </w:tcBorders>
          </w:tcPr>
          <w:p>
            <w:pPr>
              <w:spacing w:after="0"/>
              <w:rPr>
                <w:sz w:val="9"/>
                <w:szCs w:val="9"/>
                <w:color w:val="auto"/>
              </w:rPr>
            </w:pPr>
          </w:p>
        </w:tc>
        <w:tc>
          <w:tcPr>
            <w:tcW w:w="46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103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color w:val="auto"/>
        </w:rPr>
        <w:t>RONALD R. CHADWICK, P.C.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Certified Public Accountant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2851 South Parker Road, Suite 720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Aurora, Colorado 80014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(303)306-1967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Fax (303)306-1944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Croff Enterprises,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Beverly Hills, California</w:t>
      </w: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have audited the accompanying balance sheets of Croff Enterprises, Inc. as of December 31, 2008 and 2007, and the related statements of operations, stockholders' equity and cash flows for the years then ended. These financial statements are the responsibility of the Company's management. My responsibility is to express an opinion on these financial statements based on my audit.</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 conducted my audit in accordance with the standards of the Public Company Accounting Oversight Board (United States). Those standards require that I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I believe that my audit provides a reasonable basis for my opinion.</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my opinion, the financial statements referred to above present fairly, in all material respects, the financial position of Croff Enterprises, Inc. as of December 31, 2008 and 2007, and the results of its operations and its cash flows for the years then ended in conformity with accounting principles generally accepted in the United States of America.</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1 to the financial statements the Company has suffered a loss from operations in 2008 that raises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Arial" w:cs="Arial" w:eastAsia="Arial" w:hAnsi="Arial"/>
                <w:sz w:val="18"/>
                <w:szCs w:val="18"/>
                <w:color w:val="auto"/>
              </w:rPr>
              <w:t>Aurora, Colorado</w:t>
            </w:r>
          </w:p>
        </w:tc>
        <w:tc>
          <w:tcPr>
            <w:tcW w:w="2600" w:type="dxa"/>
            <w:vAlign w:val="bottom"/>
          </w:tcPr>
          <w:p>
            <w:pPr>
              <w:spacing w:after="0"/>
              <w:rPr>
                <w:sz w:val="20"/>
                <w:szCs w:val="20"/>
                <w:color w:val="auto"/>
              </w:rPr>
            </w:pPr>
            <w:r>
              <w:rPr>
                <w:rFonts w:ascii="Arial" w:cs="Arial" w:eastAsia="Arial" w:hAnsi="Arial"/>
                <w:sz w:val="18"/>
                <w:szCs w:val="18"/>
                <w:b w:val="1"/>
                <w:bCs w:val="1"/>
                <w:color w:val="auto"/>
              </w:rPr>
              <w:t>/s/ Ronald R. Chadwick, P.C.</w:t>
            </w:r>
          </w:p>
        </w:tc>
      </w:tr>
      <w:tr>
        <w:trPr>
          <w:trHeight w:val="108"/>
        </w:trPr>
        <w:tc>
          <w:tcPr>
            <w:tcW w:w="5700" w:type="dxa"/>
            <w:vAlign w:val="bottom"/>
          </w:tcPr>
          <w:p>
            <w:pPr>
              <w:spacing w:after="0"/>
              <w:rPr>
                <w:sz w:val="9"/>
                <w:szCs w:val="9"/>
                <w:color w:val="auto"/>
              </w:rPr>
            </w:pPr>
          </w:p>
        </w:tc>
        <w:tc>
          <w:tcPr>
            <w:tcW w:w="2600" w:type="dxa"/>
            <w:vAlign w:val="bottom"/>
            <w:tcBorders>
              <w:bottom w:val="single" w:sz="8" w:color="808080"/>
            </w:tcBorders>
          </w:tcPr>
          <w:p>
            <w:pPr>
              <w:spacing w:after="0"/>
              <w:rPr>
                <w:sz w:val="9"/>
                <w:szCs w:val="9"/>
                <w:color w:val="auto"/>
              </w:rPr>
            </w:pPr>
          </w:p>
        </w:tc>
      </w:tr>
      <w:tr>
        <w:trPr>
          <w:trHeight w:val="318"/>
        </w:trPr>
        <w:tc>
          <w:tcPr>
            <w:tcW w:w="5700" w:type="dxa"/>
            <w:vAlign w:val="bottom"/>
          </w:tcPr>
          <w:p>
            <w:pPr>
              <w:spacing w:after="0"/>
              <w:rPr>
                <w:sz w:val="20"/>
                <w:szCs w:val="20"/>
                <w:color w:val="auto"/>
              </w:rPr>
            </w:pPr>
            <w:r>
              <w:rPr>
                <w:rFonts w:ascii="Arial" w:cs="Arial" w:eastAsia="Arial" w:hAnsi="Arial"/>
                <w:sz w:val="18"/>
                <w:szCs w:val="18"/>
                <w:color w:val="auto"/>
              </w:rPr>
              <w:t>March 12, 2009</w:t>
            </w:r>
          </w:p>
        </w:tc>
        <w:tc>
          <w:tcPr>
            <w:tcW w:w="2600" w:type="dxa"/>
            <w:vAlign w:val="bottom"/>
          </w:tcPr>
          <w:p>
            <w:pPr>
              <w:spacing w:after="0"/>
              <w:rPr>
                <w:sz w:val="20"/>
                <w:szCs w:val="20"/>
                <w:color w:val="auto"/>
              </w:rPr>
            </w:pPr>
            <w:r>
              <w:rPr>
                <w:rFonts w:ascii="Arial" w:cs="Arial" w:eastAsia="Arial" w:hAnsi="Arial"/>
                <w:sz w:val="18"/>
                <w:szCs w:val="18"/>
                <w:color w:val="auto"/>
              </w:rPr>
              <w:t>RONALD R. CHADWICK, P.C.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CROFF ENTERPRISES,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2008</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December 31,</w:t>
            </w:r>
          </w:p>
        </w:tc>
        <w:tc>
          <w:tcPr>
            <w:tcW w:w="8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80" w:type="dxa"/>
            <w:vAlign w:val="bottom"/>
          </w:tcPr>
          <w:p>
            <w:pPr>
              <w:ind w:left="5300"/>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54,419</w:t>
            </w:r>
          </w:p>
        </w:tc>
        <w:tc>
          <w:tcPr>
            <w:tcW w:w="32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408,634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86,730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54,419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495,634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54,419</w:t>
            </w: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495,634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80" w:type="dxa"/>
            <w:vAlign w:val="bottom"/>
            <w:vMerge w:val="restart"/>
          </w:tcPr>
          <w:p>
            <w:pPr>
              <w:ind w:left="368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8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3,646</w:t>
            </w:r>
          </w:p>
        </w:tc>
        <w:tc>
          <w:tcPr>
            <w:tcW w:w="32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Dividends payable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32,076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70,667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35,722</w:t>
            </w:r>
          </w:p>
        </w:tc>
        <w:tc>
          <w:tcPr>
            <w:tcW w:w="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77,826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color w:val="auto"/>
              </w:rPr>
              <w:t>Class A Preferred stock; no par value</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Authorized – 10,000,000 shares</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Issued and outstanding – 0 shares</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spacing w:after="0" w:line="201" w:lineRule="exact"/>
              <w:rPr>
                <w:sz w:val="20"/>
                <w:szCs w:val="20"/>
                <w:color w:val="auto"/>
              </w:rPr>
            </w:pPr>
            <w:r>
              <w:rPr>
                <w:rFonts w:ascii="Arial" w:cs="Arial" w:eastAsia="Arial" w:hAnsi="Arial"/>
                <w:sz w:val="18"/>
                <w:szCs w:val="18"/>
                <w:color w:val="auto"/>
              </w:rPr>
              <w:t>Common stock, par value $0.10 per share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Authorized – 50,000,000 shares; 1,017,573 issued and outstanding</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160"/>
              <w:spacing w:after="0"/>
              <w:rPr>
                <w:sz w:val="20"/>
                <w:szCs w:val="20"/>
                <w:color w:val="auto"/>
              </w:rPr>
            </w:pPr>
            <w:r>
              <w:rPr>
                <w:rFonts w:ascii="Arial" w:cs="Arial" w:eastAsia="Arial" w:hAnsi="Arial"/>
                <w:sz w:val="18"/>
                <w:szCs w:val="18"/>
                <w:color w:val="auto"/>
              </w:rPr>
              <w:t>(2008) and 620,743 issued and 551,344 outstanding (2007)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101,757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495,558</w:t>
            </w: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439,615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Treasury stock, at cost – -0- and 69,399 shares, respectively</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(107,794)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color w:val="auto"/>
              </w:rPr>
              <w:t>Retained (deficit) earnings</w:t>
            </w:r>
          </w:p>
        </w:tc>
        <w:tc>
          <w:tcPr>
            <w:tcW w:w="1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(578,618)</w:t>
            </w:r>
          </w:p>
        </w:tc>
        <w:tc>
          <w:tcPr>
            <w:tcW w:w="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23,653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18,697</w:t>
            </w:r>
          </w:p>
        </w:tc>
        <w:tc>
          <w:tcPr>
            <w:tcW w:w="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417,538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Borders>
              <w:top w:val="single" w:sz="8" w:color="EEEEEE"/>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6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54,419</w:t>
            </w:r>
          </w:p>
        </w:tc>
        <w:tc>
          <w:tcPr>
            <w:tcW w:w="32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495,364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CROFF ENTERPRISES,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AND 2007</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EEEEEE"/>
          </w:tcPr>
          <w:p>
            <w:pPr>
              <w:spacing w:after="0"/>
              <w:rPr>
                <w:sz w:val="20"/>
                <w:szCs w:val="20"/>
                <w:color w:val="auto"/>
              </w:rPr>
            </w:pPr>
            <w:r>
              <w:rPr>
                <w:rFonts w:ascii="Arial" w:cs="Arial" w:eastAsia="Arial" w:hAnsi="Arial"/>
                <w:sz w:val="18"/>
                <w:szCs w:val="18"/>
                <w:color w:val="auto"/>
              </w:rPr>
              <w:t>General and administrative</w:t>
            </w:r>
          </w:p>
        </w:tc>
        <w:tc>
          <w:tcPr>
            <w:tcW w:w="15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145,553</w:t>
            </w:r>
          </w:p>
        </w:tc>
        <w:tc>
          <w:tcPr>
            <w:tcW w:w="14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93,743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Consulting fees, non-cash compensation</w:t>
            </w:r>
          </w:p>
        </w:tc>
        <w:tc>
          <w:tcPr>
            <w:tcW w:w="1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TOTAL EXPENSES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395,553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93,743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(LOSS) FROM OPERATIONS</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(395,553)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(93,743)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13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42,740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Borders>
              <w:top w:val="single" w:sz="8" w:color="EEEEEE"/>
            </w:tcBorders>
          </w:tcPr>
          <w:p>
            <w:pPr>
              <w:spacing w:after="0"/>
              <w:rPr>
                <w:sz w:val="18"/>
                <w:szCs w:val="18"/>
                <w:color w:val="auto"/>
              </w:rPr>
            </w:pPr>
          </w:p>
        </w:tc>
        <w:tc>
          <w:tcPr>
            <w:tcW w:w="1340" w:type="dxa"/>
            <w:vAlign w:val="bottom"/>
            <w:tcBorders>
              <w:top w:val="single" w:sz="8" w:color="EEEEEE"/>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OTHER INCOME (EXPENSE)</w:t>
            </w:r>
          </w:p>
        </w:tc>
        <w:tc>
          <w:tcPr>
            <w:tcW w:w="1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42,740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13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(395,553)</w:t>
            </w:r>
          </w:p>
        </w:tc>
        <w:tc>
          <w:tcPr>
            <w:tcW w:w="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Borders>
              <w:top w:val="single" w:sz="8" w:color="EEEEEE"/>
            </w:tcBorders>
          </w:tcPr>
          <w:p>
            <w:pPr>
              <w:spacing w:after="0"/>
              <w:rPr>
                <w:sz w:val="20"/>
                <w:szCs w:val="20"/>
                <w:color w:val="auto"/>
              </w:rPr>
            </w:pPr>
            <w:r>
              <w:rPr>
                <w:rFonts w:ascii="Arial" w:cs="Arial" w:eastAsia="Arial" w:hAnsi="Arial"/>
                <w:sz w:val="18"/>
                <w:szCs w:val="18"/>
                <w:color w:val="auto"/>
              </w:rPr>
              <w:t>Provision for income taxes</w:t>
            </w:r>
          </w:p>
        </w:tc>
        <w:tc>
          <w:tcPr>
            <w:tcW w:w="1340" w:type="dxa"/>
            <w:vAlign w:val="bottom"/>
            <w:tcBorders>
              <w:top w:val="single" w:sz="8" w:color="EEEEEE"/>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(LOSS) FROM CONTINUING OPERATIONS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(395,553)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(51,001)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DISCONTINUED OPERATIONS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EEEEE"/>
          </w:tcPr>
          <w:p>
            <w:pPr>
              <w:spacing w:after="0"/>
              <w:rPr>
                <w:sz w:val="20"/>
                <w:szCs w:val="20"/>
                <w:color w:val="auto"/>
              </w:rPr>
            </w:pPr>
            <w:r>
              <w:rPr>
                <w:rFonts w:ascii="Arial" w:cs="Arial" w:eastAsia="Arial" w:hAnsi="Arial"/>
                <w:sz w:val="18"/>
                <w:szCs w:val="18"/>
                <w:color w:val="auto"/>
              </w:rPr>
              <w:t>Income discontinued operations</w:t>
            </w:r>
          </w:p>
        </w:tc>
        <w:tc>
          <w:tcPr>
            <w:tcW w:w="1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331,543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INCOME FROM DISCONTINUED OPERATIONS</w:t>
            </w: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221,543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(395,553)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170,542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NET (LOSS) INCOME PER COMMON SHARE</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EEEEEE"/>
          </w:tcPr>
          <w:p>
            <w:pPr>
              <w:spacing w:after="0"/>
              <w:rPr>
                <w:sz w:val="20"/>
                <w:szCs w:val="20"/>
                <w:color w:val="auto"/>
              </w:rPr>
            </w:pPr>
            <w:r>
              <w:rPr>
                <w:rFonts w:ascii="Arial" w:cs="Arial" w:eastAsia="Arial" w:hAnsi="Arial"/>
                <w:sz w:val="18"/>
                <w:szCs w:val="18"/>
                <w:color w:val="auto"/>
              </w:rPr>
              <w:t>Basic and diluted:</w:t>
            </w:r>
          </w:p>
        </w:tc>
        <w:tc>
          <w:tcPr>
            <w:tcW w:w="1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Continuing operations</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(0.45)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Discontinued operations</w:t>
            </w:r>
          </w:p>
        </w:tc>
        <w:tc>
          <w:tcPr>
            <w:tcW w:w="134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(loss) income</w:t>
            </w: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(0.45)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Basic and diluted</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856,931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551,224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CROFF ENTERPRISES,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AND 2007</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5"/>
              </w:rPr>
              <w:t>Additional</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36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Preferred B Stock</w:t>
            </w:r>
          </w:p>
        </w:tc>
        <w:tc>
          <w:tcPr>
            <w:tcW w:w="218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6"/>
              </w:rPr>
              <w:t>Paid-in</w:t>
            </w: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Treasury</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9"/>
              </w:rPr>
              <w:t>Retained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Amount</w:t>
            </w:r>
          </w:p>
        </w:tc>
        <w:tc>
          <w:tcPr>
            <w:tcW w:w="240" w:type="dxa"/>
            <w:vAlign w:val="bottom"/>
          </w:tcPr>
          <w:p>
            <w:pPr>
              <w:spacing w:after="0"/>
              <w:rPr>
                <w:sz w:val="20"/>
                <w:szCs w:val="20"/>
                <w:color w:val="auto"/>
              </w:rPr>
            </w:pPr>
          </w:p>
        </w:tc>
        <w:tc>
          <w:tcPr>
            <w:tcW w:w="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Stock</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2006</w:t>
            </w:r>
          </w:p>
        </w:tc>
        <w:tc>
          <w:tcPr>
            <w:tcW w:w="10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540,659</w:t>
            </w: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w w:val="99"/>
              </w:rPr>
              <w:t>1,380,387</w:t>
            </w: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620,743</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62,074</w:t>
            </w: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155,705</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(107,794)</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196,963</w:t>
            </w:r>
          </w:p>
        </w:tc>
        <w:tc>
          <w:tcPr>
            <w:tcW w:w="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w w:val="97"/>
              </w:rPr>
              <w:t>1,687,335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Preferred stock reallocation</w:t>
            </w:r>
          </w:p>
        </w:tc>
        <w:tc>
          <w:tcPr>
            <w:tcW w:w="10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343,852</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(343,852)</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Contribution to capital,</w:t>
            </w:r>
          </w:p>
        </w:tc>
        <w:tc>
          <w:tcPr>
            <w:tcW w:w="9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common</w:t>
            </w:r>
          </w:p>
        </w:tc>
        <w:tc>
          <w:tcPr>
            <w:tcW w:w="10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(283,900)</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7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283,900</w:t>
            </w:r>
          </w:p>
        </w:tc>
        <w:tc>
          <w:tcPr>
            <w:tcW w:w="100" w:type="dxa"/>
            <w:vAlign w:val="bottom"/>
            <w:shd w:val="clear" w:color="auto" w:fill="EEEEEE"/>
          </w:tcPr>
          <w:p>
            <w:pPr>
              <w:spacing w:after="0"/>
              <w:rPr>
                <w:sz w:val="20"/>
                <w:szCs w:val="20"/>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9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Preferred redemption</w:t>
            </w:r>
          </w:p>
        </w:tc>
        <w:tc>
          <w:tcPr>
            <w:tcW w:w="10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(540,659)</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w w:val="93"/>
              </w:rPr>
              <w:t>(1,440,339)</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w w:val="91"/>
              </w:rPr>
              <w:t>(1,440,339)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8"/>
              </w:rPr>
              <w:t>Net income for the year ended</w:t>
            </w:r>
          </w:p>
        </w:tc>
        <w:tc>
          <w:tcPr>
            <w:tcW w:w="9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December 31, 2007</w:t>
            </w:r>
          </w:p>
        </w:tc>
        <w:tc>
          <w:tcPr>
            <w:tcW w:w="10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7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9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170,542</w:t>
            </w:r>
          </w:p>
        </w:tc>
        <w:tc>
          <w:tcPr>
            <w:tcW w:w="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170,542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Borders>
              <w:top w:val="single" w:sz="8" w:color="EEEEEE"/>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2007</w:t>
            </w:r>
          </w:p>
        </w:tc>
        <w:tc>
          <w:tcPr>
            <w:tcW w:w="10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620,743</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62,074</w:t>
            </w: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439,605</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(107,794)</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23,653</w:t>
            </w:r>
          </w:p>
        </w:tc>
        <w:tc>
          <w:tcPr>
            <w:tcW w:w="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417,538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9"/>
              </w:rPr>
              <w:t>Issuance of common stock for</w:t>
            </w:r>
          </w:p>
        </w:tc>
        <w:tc>
          <w:tcPr>
            <w:tcW w:w="9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deferred consulting fees</w:t>
            </w:r>
          </w:p>
        </w:tc>
        <w:tc>
          <w:tcPr>
            <w:tcW w:w="10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EEEEEE"/>
          </w:tcPr>
          <w:p>
            <w:pPr>
              <w:spacing w:after="0"/>
              <w:rPr>
                <w:sz w:val="20"/>
                <w:szCs w:val="20"/>
                <w:color w:val="auto"/>
              </w:rPr>
            </w:pPr>
          </w:p>
        </w:tc>
        <w:tc>
          <w:tcPr>
            <w:tcW w:w="9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EEEEEE"/>
          </w:tcPr>
          <w:p>
            <w:pPr>
              <w:spacing w:after="0"/>
              <w:rPr>
                <w:sz w:val="20"/>
                <w:szCs w:val="20"/>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9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Purchase of treasury stock</w:t>
            </w:r>
          </w:p>
        </w:tc>
        <w:tc>
          <w:tcPr>
            <w:tcW w:w="10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(46,570)</w:t>
            </w:r>
          </w:p>
        </w:tc>
        <w:tc>
          <w:tcPr>
            <w:tcW w:w="1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(46,570)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Treasury share cancellation</w:t>
            </w:r>
          </w:p>
        </w:tc>
        <w:tc>
          <w:tcPr>
            <w:tcW w:w="10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(103,170)</w:t>
            </w:r>
          </w:p>
        </w:tc>
        <w:tc>
          <w:tcPr>
            <w:tcW w:w="1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(10,317)</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(144,047)</w:t>
            </w:r>
          </w:p>
        </w:tc>
        <w:tc>
          <w:tcPr>
            <w:tcW w:w="1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154,364</w:t>
            </w:r>
          </w:p>
        </w:tc>
        <w:tc>
          <w:tcPr>
            <w:tcW w:w="1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Dividend</w:t>
            </w:r>
          </w:p>
        </w:tc>
        <w:tc>
          <w:tcPr>
            <w:tcW w:w="10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(206,718)</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(206,718)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Net (loss) for the year ended</w:t>
            </w:r>
          </w:p>
        </w:tc>
        <w:tc>
          <w:tcPr>
            <w:tcW w:w="9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December 31, 2008</w:t>
            </w:r>
          </w:p>
        </w:tc>
        <w:tc>
          <w:tcPr>
            <w:tcW w:w="10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0"/>
                <w:szCs w:val="20"/>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9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(395,553)</w:t>
            </w:r>
          </w:p>
        </w:tc>
        <w:tc>
          <w:tcPr>
            <w:tcW w:w="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(395,553)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Borders>
              <w:top w:val="single" w:sz="8" w:color="EEEEEE"/>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EEEEEE"/>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40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2008</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20"/>
                <w:szCs w:val="20"/>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1,107,573</w:t>
            </w:r>
          </w:p>
        </w:tc>
        <w:tc>
          <w:tcPr>
            <w:tcW w:w="220" w:type="dxa"/>
            <w:vAlign w:val="bottom"/>
            <w:shd w:val="clear" w:color="auto" w:fill="EEEEEE"/>
          </w:tcPr>
          <w:p>
            <w:pPr>
              <w:spacing w:after="0"/>
              <w:rPr>
                <w:sz w:val="20"/>
                <w:szCs w:val="20"/>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101,757</w:t>
            </w: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495,558</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EEEEE"/>
          </w:tcPr>
          <w:p>
            <w:pPr>
              <w:spacing w:after="0"/>
              <w:rPr>
                <w:sz w:val="20"/>
                <w:szCs w:val="20"/>
                <w:color w:val="auto"/>
              </w:rPr>
            </w:pP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(578,618)</w:t>
            </w:r>
          </w:p>
        </w:tc>
        <w:tc>
          <w:tcPr>
            <w:tcW w:w="2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EEEEEE"/>
            </w:tcBorders>
            <w:shd w:val="clear" w:color="auto" w:fill="EEEEEE"/>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CROFF ENTERPRISES,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2008 AND 2007</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EEEEEE"/>
          </w:tcPr>
          <w:p>
            <w:pPr>
              <w:spacing w:after="0"/>
              <w:rPr>
                <w:sz w:val="20"/>
                <w:szCs w:val="20"/>
                <w:color w:val="auto"/>
              </w:rPr>
            </w:pPr>
            <w:r>
              <w:rPr>
                <w:rFonts w:ascii="Arial" w:cs="Arial" w:eastAsia="Arial" w:hAnsi="Arial"/>
                <w:sz w:val="18"/>
                <w:szCs w:val="18"/>
                <w:color w:val="auto"/>
              </w:rPr>
              <w:t>Net (loss) from continuing operations</w:t>
            </w:r>
          </w:p>
        </w:tc>
        <w:tc>
          <w:tcPr>
            <w:tcW w:w="260" w:type="dxa"/>
            <w:vAlign w:val="bottom"/>
            <w:shd w:val="clear" w:color="auto" w:fill="EEEEEE"/>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(395,553)</w:t>
            </w:r>
          </w:p>
        </w:tc>
        <w:tc>
          <w:tcPr>
            <w:tcW w:w="3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170,542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spacing w:after="0" w:line="201" w:lineRule="exact"/>
              <w:rPr>
                <w:sz w:val="20"/>
                <w:szCs w:val="20"/>
                <w:color w:val="auto"/>
              </w:rPr>
            </w:pPr>
            <w:r>
              <w:rPr>
                <w:rFonts w:ascii="Arial" w:cs="Arial" w:eastAsia="Arial" w:hAnsi="Arial"/>
                <w:sz w:val="18"/>
                <w:szCs w:val="18"/>
                <w:color w:val="auto"/>
              </w:rPr>
              <w:t>Adjustments to reconcile net (loss) to net cash</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(used) by operating activities: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EEEEEE"/>
          </w:tcPr>
          <w:p>
            <w:pPr>
              <w:ind w:left="480"/>
              <w:spacing w:after="0"/>
              <w:rPr>
                <w:sz w:val="20"/>
                <w:szCs w:val="20"/>
                <w:color w:val="auto"/>
              </w:rPr>
            </w:pPr>
            <w:r>
              <w:rPr>
                <w:rFonts w:ascii="Arial" w:cs="Arial" w:eastAsia="Arial" w:hAnsi="Arial"/>
                <w:sz w:val="18"/>
                <w:szCs w:val="18"/>
                <w:color w:val="auto"/>
              </w:rPr>
              <w:t>Income from discontinued operations</w:t>
            </w:r>
          </w:p>
        </w:tc>
        <w:tc>
          <w:tcPr>
            <w:tcW w:w="2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Consulting fees, non-cash compensation</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EEEEEE"/>
          </w:tcPr>
          <w:p>
            <w:pPr>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86,730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(39,843)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(3,513)</w:t>
            </w: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(70,667)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37,292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EEEEEE"/>
          </w:tcPr>
          <w:p>
            <w:pPr>
              <w:ind w:left="160"/>
              <w:spacing w:after="0"/>
              <w:rPr>
                <w:sz w:val="20"/>
                <w:szCs w:val="20"/>
                <w:color w:val="auto"/>
              </w:rPr>
            </w:pPr>
            <w:r>
              <w:rPr>
                <w:rFonts w:ascii="Arial" w:cs="Arial" w:eastAsia="Arial" w:hAnsi="Arial"/>
                <w:sz w:val="18"/>
                <w:szCs w:val="18"/>
                <w:b w:val="1"/>
                <w:bCs w:val="1"/>
                <w:color w:val="auto"/>
              </w:rPr>
              <w:t>NET CASH (USED) PROVIDED BY OPERATING ACTIVITIES</w:t>
            </w:r>
          </w:p>
        </w:tc>
        <w:tc>
          <w:tcPr>
            <w:tcW w:w="26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(133,003)</w:t>
            </w:r>
          </w:p>
        </w:tc>
        <w:tc>
          <w:tcPr>
            <w:tcW w:w="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344,098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EEEEEE"/>
            </w:tcBorders>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auto"/>
            </w:tcBorders>
            <w:shd w:val="clear" w:color="auto" w:fill="EEEEEE"/>
          </w:tcPr>
          <w:p>
            <w:pPr>
              <w:spacing w:after="0"/>
              <w:rPr>
                <w:sz w:val="19"/>
                <w:szCs w:val="19"/>
                <w:color w:val="auto"/>
              </w:rPr>
            </w:pPr>
          </w:p>
        </w:tc>
        <w:tc>
          <w:tcPr>
            <w:tcW w:w="8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260" w:type="dxa"/>
            <w:vAlign w:val="bottom"/>
            <w:tcBorders>
              <w:bottom w:val="single" w:sz="8" w:color="auto"/>
            </w:tcBorders>
            <w:shd w:val="clear" w:color="auto" w:fill="EEEEEE"/>
          </w:tcPr>
          <w:p>
            <w:pPr>
              <w:spacing w:after="0"/>
              <w:rPr>
                <w:sz w:val="19"/>
                <w:szCs w:val="19"/>
                <w:color w:val="auto"/>
              </w:rPr>
            </w:pPr>
          </w:p>
        </w:tc>
        <w:tc>
          <w:tcPr>
            <w:tcW w:w="8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22,756</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NET CASH (USED) PROVIDED BY INVESTING ACTIVITIES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22,756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EEEEEE"/>
          </w:tcPr>
          <w:p>
            <w:pPr>
              <w:spacing w:after="0"/>
              <w:rPr>
                <w:sz w:val="20"/>
                <w:szCs w:val="20"/>
                <w:color w:val="auto"/>
              </w:rPr>
            </w:pPr>
            <w:r>
              <w:rPr>
                <w:rFonts w:ascii="Arial" w:cs="Arial" w:eastAsia="Arial" w:hAnsi="Arial"/>
                <w:sz w:val="18"/>
                <w:szCs w:val="18"/>
                <w:color w:val="auto"/>
              </w:rPr>
              <w:t>Dividends paid</w:t>
            </w:r>
          </w:p>
        </w:tc>
        <w:tc>
          <w:tcPr>
            <w:tcW w:w="26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(174,642)</w:t>
            </w: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(46,570)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EEEEEE"/>
          </w:tcPr>
          <w:p>
            <w:pPr>
              <w:spacing w:after="0"/>
              <w:rPr>
                <w:sz w:val="20"/>
                <w:szCs w:val="20"/>
                <w:color w:val="auto"/>
              </w:rPr>
            </w:pPr>
            <w:r>
              <w:rPr>
                <w:rFonts w:ascii="Arial" w:cs="Arial" w:eastAsia="Arial" w:hAnsi="Arial"/>
                <w:sz w:val="18"/>
                <w:szCs w:val="18"/>
                <w:color w:val="auto"/>
              </w:rPr>
              <w:t>Discontinued operations</w:t>
            </w:r>
          </w:p>
        </w:tc>
        <w:tc>
          <w:tcPr>
            <w:tcW w:w="2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(943,949)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shd w:val="clear" w:color="auto" w:fill="EEEEEE"/>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
              <w:spacing w:after="0"/>
              <w:rPr>
                <w:sz w:val="20"/>
                <w:szCs w:val="20"/>
                <w:color w:val="auto"/>
              </w:rPr>
            </w:pPr>
            <w:r>
              <w:rPr>
                <w:rFonts w:ascii="Arial" w:cs="Arial" w:eastAsia="Arial" w:hAnsi="Arial"/>
                <w:sz w:val="18"/>
                <w:szCs w:val="18"/>
                <w:b w:val="1"/>
                <w:bCs w:val="1"/>
                <w:color w:val="auto"/>
              </w:rPr>
              <w:t>NET CASH (USED) BY FINANCING ACTIVITIES</w:t>
            </w:r>
          </w:p>
        </w:tc>
        <w:tc>
          <w:tcPr>
            <w:tcW w:w="26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(221,212)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(943,949)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880" w:type="dxa"/>
            <w:vAlign w:val="bottom"/>
            <w:tcBorders>
              <w:top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800" w:type="dxa"/>
            <w:vAlign w:val="bottom"/>
          </w:tcPr>
          <w:p>
            <w:pPr>
              <w:spacing w:after="0" w:line="198" w:lineRule="exact"/>
              <w:rPr>
                <w:sz w:val="20"/>
                <w:szCs w:val="20"/>
                <w:color w:val="auto"/>
              </w:rPr>
            </w:pPr>
            <w:r>
              <w:rPr>
                <w:rFonts w:ascii="Arial" w:cs="Arial" w:eastAsia="Arial" w:hAnsi="Arial"/>
                <w:sz w:val="18"/>
                <w:szCs w:val="18"/>
                <w:b w:val="1"/>
                <w:bCs w:val="1"/>
                <w:color w:val="auto"/>
              </w:rPr>
              <w:t>NET INCREASE (DECREASE) IN CASH</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AND CASH EQUIVALENTS</w:t>
            </w:r>
          </w:p>
        </w:tc>
        <w:tc>
          <w:tcPr>
            <w:tcW w:w="2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(354,215)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(577,095)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0" w:type="dxa"/>
            <w:vAlign w:val="bottom"/>
            <w:shd w:val="clear" w:color="auto" w:fill="EEEEEE"/>
          </w:tcPr>
          <w:p>
            <w:pPr>
              <w:spacing w:after="0" w:line="198" w:lineRule="exact"/>
              <w:rPr>
                <w:sz w:val="20"/>
                <w:szCs w:val="20"/>
                <w:color w:val="auto"/>
              </w:rPr>
            </w:pPr>
            <w:r>
              <w:rPr>
                <w:rFonts w:ascii="Arial" w:cs="Arial" w:eastAsia="Arial" w:hAnsi="Arial"/>
                <w:sz w:val="18"/>
                <w:szCs w:val="18"/>
                <w:b w:val="1"/>
                <w:bCs w:val="1"/>
                <w:color w:val="auto"/>
              </w:rPr>
              <w:t>CASH AND CASH EQUIVALENTS</w:t>
            </w:r>
          </w:p>
        </w:tc>
        <w:tc>
          <w:tcPr>
            <w:tcW w:w="2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shd w:val="clear" w:color="auto" w:fill="EEEEEE"/>
          </w:tcPr>
          <w:p>
            <w:pPr>
              <w:ind w:left="160"/>
              <w:spacing w:after="0"/>
              <w:rPr>
                <w:sz w:val="20"/>
                <w:szCs w:val="20"/>
                <w:color w:val="auto"/>
              </w:rPr>
            </w:pPr>
            <w:r>
              <w:rPr>
                <w:rFonts w:ascii="Arial" w:cs="Arial" w:eastAsia="Arial" w:hAnsi="Arial"/>
                <w:sz w:val="18"/>
                <w:szCs w:val="18"/>
                <w:b w:val="1"/>
                <w:bCs w:val="1"/>
                <w:color w:val="auto"/>
              </w:rPr>
              <w:t>AT THE BEGINNING OF THE PERIOD</w:t>
            </w:r>
          </w:p>
        </w:tc>
        <w:tc>
          <w:tcPr>
            <w:tcW w:w="260" w:type="dxa"/>
            <w:vAlign w:val="bottom"/>
            <w:shd w:val="clear" w:color="auto" w:fill="EEEEEE"/>
          </w:tcPr>
          <w:p>
            <w:pPr>
              <w:spacing w:after="0"/>
              <w:rPr>
                <w:sz w:val="20"/>
                <w:szCs w:val="20"/>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408,634</w:t>
            </w:r>
          </w:p>
        </w:tc>
        <w:tc>
          <w:tcPr>
            <w:tcW w:w="1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9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985,729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0" w:type="dxa"/>
            <w:vAlign w:val="bottom"/>
            <w:tcBorders>
              <w:top w:val="single" w:sz="8" w:color="EEEEEE"/>
            </w:tcBorders>
          </w:tcPr>
          <w:p>
            <w:pPr>
              <w:spacing w:after="0" w:line="198" w:lineRule="exact"/>
              <w:rPr>
                <w:sz w:val="20"/>
                <w:szCs w:val="20"/>
                <w:color w:val="auto"/>
              </w:rPr>
            </w:pPr>
            <w:r>
              <w:rPr>
                <w:rFonts w:ascii="Arial" w:cs="Arial" w:eastAsia="Arial" w:hAnsi="Arial"/>
                <w:sz w:val="18"/>
                <w:szCs w:val="18"/>
                <w:b w:val="1"/>
                <w:bCs w:val="1"/>
                <w:color w:val="auto"/>
              </w:rPr>
              <w:t>CASH AND CASH EQUIVALENTS</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EEEEEE"/>
            </w:tcBorders>
          </w:tcPr>
          <w:p>
            <w:pPr>
              <w:spacing w:after="0"/>
              <w:rPr>
                <w:sz w:val="17"/>
                <w:szCs w:val="17"/>
                <w:color w:val="auto"/>
              </w:rPr>
            </w:pPr>
          </w:p>
        </w:tc>
        <w:tc>
          <w:tcPr>
            <w:tcW w:w="80" w:type="dxa"/>
            <w:vAlign w:val="bottom"/>
            <w:tcBorders>
              <w:top w:val="single" w:sz="8" w:color="EEEEEE"/>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EEEEEE"/>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AT THE END OF THE PERIOD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54,419</w:t>
            </w:r>
          </w:p>
        </w:tc>
        <w:tc>
          <w:tcPr>
            <w:tcW w:w="140" w:type="dxa"/>
            <w:vAlign w:val="bottom"/>
          </w:tcPr>
          <w:p>
            <w:pPr>
              <w:spacing w:after="0"/>
              <w:rPr>
                <w:sz w:val="20"/>
                <w:szCs w:val="20"/>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408,634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color w:val="auto"/>
        </w:rPr>
        <w:t>CROFF ENTERPRISES,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 THE YEARS ENDED DECEMBER 31, 2008 AND 2007</w:t>
      </w:r>
    </w:p>
    <w:p>
      <w:pPr>
        <w:spacing w:after="0" w:line="261" w:lineRule="exact"/>
        <w:rPr>
          <w:sz w:val="20"/>
          <w:szCs w:val="20"/>
          <w:color w:val="auto"/>
        </w:rPr>
      </w:pPr>
    </w:p>
    <w:p>
      <w:pPr>
        <w:ind w:left="720" w:hanging="712"/>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BUSINESS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w:t>
      </w:r>
    </w:p>
    <w:p>
      <w:pPr>
        <w:spacing w:after="0" w:line="27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Croff Enterprises, Inc. (“Croff’ or the “Company”) was incorporated in Utah in 1907. Due to the Spin-Off (as described below), the Company currently has no business operations or revenue source and has reduced its operations to a minimal level (although it continues to file reports required under the Securities Exchange Act of 1934). As a result, the Company is a “shell company” under the rules of the Securities and Exchange Commission (the “SEC”). During that period, it is expected that the Company’s management will seek opportunities for a merger or other business combination with a privately-held operating company (on terms that may or may not be favorable to the Company's existing shareholders). Should the Company exhaust its available funds before a merger or other business combination is completed and be unable to obtain additional funds from the sale of debt or equity securities and/or other financing sources (again on terms that may or may not be favorable to the Company's existing shareholders), it is expected that the Company will be required to discontinue operations entirely, seek protection under federal bankruptcy laws, or both.</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Restructure of Operations.</w:t>
      </w:r>
    </w:p>
    <w:p>
      <w:pPr>
        <w:spacing w:after="0" w:line="27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December 2007, Croff transferred its oil and gas assets, related bank accounts, and all related assets and liabilities to a new wholly-owned subsidiary named Croff Oil Company, Inc. (the “Spin-Off”). All shares of Croff Oil Company, Inc. were then exchanged for Croff’s outstanding Series B preferred shares and the Series B preferred shares were then cancelled. All of Croff’s oil and gas assets, including perpetual mineral interests, had been pledged to its Series B preferred shareholders at the creation of the Series B preferred class in 1996. All shareholders of Croff at the date of issuance in 1996 were given an equivalent number of shares of Series B preferred stock, while keeping their common stock.</w:t>
      </w:r>
    </w:p>
    <w:p>
      <w:pPr>
        <w:spacing w:after="0" w:line="2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Spin-Off occurred approximately three years after Croff’s Board of Directors had determined to review its strategic alternatives with a view to obtain more liquidity for the Company’s two classes of stock and to increase the value to its shareholders. In the first quarter of 2005, the Board believed the combined value of $2.30 for a common share plus a Series B preferred share did not reflect the total value of the Company. Therefore, in the fourth quarter of 2007 the Board of Directors set the value of a combined Series B preferred share and a common share at $5.25, allowing shareholders to receive this cash buyout. Under the Utah Dissenting Shareholder’s Rights Act, Croff’s common and Series B preferred shareholders had the option to receive cash from the Company in exchange for their shares. Common shares were redeemed at $1.00 per share and Series B preferred shares were redeemed at $4.25 per share. If a shareholder did not approve of the price, the shareholder was able to propose a different price with justification. Pursuant to the buyout, 24,030 common shares of Croff were redeemed at $1.00 per share, and an additional 10,415 common shares were redeemed at various prices from $1.00 to $2.70. In addition, 35,930 shares of Series B preferred stock were redeemed, all for the $4.25 per share price. As a result of shareholders exercising their rights, the number of outstanding preferred shares was reduced from 551,244 to - -0- by December 31, 2007.</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Going Concern.</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As shown in the accompanying financial statements, the Company has incurred a net operating loss of $(395,553) during the year ended December 31, 2008.</w:t>
      </w:r>
    </w:p>
    <w:p>
      <w:pPr>
        <w:spacing w:after="0" w:line="30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is subject to those risks associated with shell companies. The Company has sustained losses since the Spin-Off and additional debt and equity financing will be required by the Company to fund its activities and to support operations. However, there is no assurance that the Company will be able to obtain additional financing.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22" w:name="page23"/>
    <w:bookmarkEnd w:id="22"/>
    <w:p>
      <w:pPr>
        <w:ind w:left="680" w:hanging="672"/>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w:t>
      </w:r>
    </w:p>
    <w:p>
      <w:pPr>
        <w:spacing w:after="0" w:line="27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SFAS No. 141(R) - In December 2007, the FASB issued Statement No. 141(R), “Business Combinations.” This Statement replaces FASB Statement No. 141, “Business Combinations.” This Statement retains the fundamental requirements in Statement No. 141 that the acquisition method of accounting (which Statement No. 141 called the purchase method) be used for all business combinations and for an acquirer to be identified for each business combination. This Statement defines the acquirer as the entity that obtains control of one or more businesses in the business combination and establishes the acquisition date as the date that the acquirer achieves control. Statement No. 141 did not define the acquirer, although it included guidance on identifying the acquirer, as does this Statement. This Statement’s scope is broader than that of Statement No. 141, which applied only to business combinations in which control was obtained by transferring consideration. By applying the same method of accounting - the acquisition method - to all transactions and other events in which one entity obtains control over one or more other businesses, this Statement improves the comparability of the information about business combinations provided in financial reports.</w:t>
      </w:r>
    </w:p>
    <w:p>
      <w:pPr>
        <w:spacing w:after="0" w:line="25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Statement applies prospectively to business combinations for which the acquisition date is on or after the beginning of the first annual reporting period beginning on or after December 15, 2008. An entity may not apply it before that date. The Company is currently evaluating SFAS No. 141(R), and has not yet determined its potential impact on its future results of operations or financial position.</w:t>
      </w:r>
    </w:p>
    <w:p>
      <w:pPr>
        <w:spacing w:after="0" w:line="23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SFAS No. 160 - In December 2007, the FASB issued Statement No. 160, “Noncontrolling Interests in Consolidated Financial Statements - an Amendment of ARB No. 51.” This Statement amends ARB No. 51 to establish accounting and reporting standards for the noncontrolling interest in a subsidiary and for the deconsolidation of a subsidiary. It clarifies that a noncontrolling interest in a subsidiary is an ownership interest in the consolidated entity that should be reported as equity in the consolidated financial statements. Before this Statement was issued, limited guidance existed for reporting noncontrolling interests. As a result, considerable diversity in practice existed. So-called minority interests were reported in the consolidated statement of financial position as liabilities or in the mezzanine section between liabilities and equity. This Statement improves comparability by eliminating that diversity.</w:t>
      </w:r>
    </w:p>
    <w:p>
      <w:pPr>
        <w:spacing w:after="0" w:line="21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Statement is effective for fiscal years, and interim periods within those fiscal years, beginning on or after December 15, 2008. Earlier adoption is prohibited. The effective date of this Statement is the same as that of the related Statement No. 141(R). This Statement shall be applied prospectively as of the beginning of the fiscal year in which this Statement is initially applied, except for the presentation and disclosure requirements. The presentation and disclosure requirements shall be applied retrospectively for all periods presented. The Company is currently evaluating Statement No. 160 and has not yet determined its potential impact on its future results of operations or financial position.</w:t>
      </w:r>
    </w:p>
    <w:p>
      <w:pPr>
        <w:spacing w:after="0" w:line="24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SFAS No. 161 - In March 2008, the FASB issued Statement No. 161, “Disclosures about Derivative Instruments and Hedging Activities—an amendment of FASB Statement No. 133.” This Statement changes the disclosure requirements for derivative instruments and hedging activities. Entities are required to provide enhanced disclosures about (a) how and why an entity uses derivative instruments, (b) how derivative instruments and related hedged items are accounted for under Statement No. 133 and its related interpretations, and (c) how derivative instruments and related hedged items affect an entity’s financial position, financial performance, and cash flows.</w:t>
      </w:r>
    </w:p>
    <w:p>
      <w:pPr>
        <w:spacing w:after="0" w:line="24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This Statement is intended to enhance the current disclosure framework in Statement No. 133. The Statement requires that objectives for using derivative instruments be disclosed in terms of underlying risk and accounting designation. This disclosure better conveys the purpose of derivative use in terms of the risks that the entity is intending to manage. Disclosing the fair values of derivative instruments and their gains and losses in a tabular format should provide a more complete picture of the location in an entity’s financial statements of both the derivative positions existing at period end and the effect of using derivatives during the reporting period. Disclosing information about credit-risk-related contingent features should provide information on the potential effect on an entity’s liquidity from using derivatives. Finally, this Statement requires cross-referencing within the footnotes, which should help users of financial statements locate important information about derivative instruments.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83" w:right="259" w:bottom="1440" w:gutter="0" w:footer="0" w:header="0"/>
        </w:sectPr>
      </w:pPr>
    </w:p>
    <w:bookmarkStart w:id="23" w:name="page24"/>
    <w:bookmarkEnd w:id="23"/>
    <w:p>
      <w:pPr>
        <w:jc w:val="both"/>
        <w:ind w:right="380"/>
        <w:spacing w:after="0" w:line="312" w:lineRule="auto"/>
        <w:rPr>
          <w:sz w:val="20"/>
          <w:szCs w:val="20"/>
          <w:color w:val="auto"/>
        </w:rPr>
      </w:pPr>
      <w:r>
        <w:rPr>
          <w:rFonts w:ascii="Arial" w:cs="Arial" w:eastAsia="Arial" w:hAnsi="Arial"/>
          <w:sz w:val="16"/>
          <w:szCs w:val="16"/>
          <w:color w:val="auto"/>
        </w:rPr>
        <w:t>This Statement is effective for financial statements issued for fiscal years and interim periods beginning after November 15, 2008, with early application encouraged. This Statement encourages, but does not require, comparative disclosures for earlier periods at initial adoption. The Company is currently evaluating Statement No. 161 and has not yet determined its potential impact on its future results of operations or financial position.</w:t>
      </w:r>
    </w:p>
    <w:p>
      <w:pPr>
        <w:spacing w:after="0" w:line="20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SFAS No. 162 - In May 2008, the FASB issued Statement No. 162, “The Hierarchy of Generally Accepted Accounting Principles.” This Statement identifies the sources of accounting principles and the framework for selecting the principles to be used in the preparation of financial statements presented in conformity with generally accepted accounting principles in the United States of America. This Statement will be effective 60 days following the SEC's approval of the Public Company Accounting Oversight Board amendments to AU Section 411,“The Meaning of Present Fairly in Conformity with Generally Accepted Accounting Principles.” The Company does not believe the implementation of this Statement will have a material impact on its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carrying amounts of financial instruments including cash and cash equivalents, marketable equity securities, accounts receivable, notes receivable, accounts payable and accrued liabilities approximate fair value as of December 31, 2008 and 2007.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credit risk</w:t>
      </w:r>
      <w:r>
        <w:rPr>
          <w:rFonts w:ascii="Arial" w:cs="Arial" w:eastAsia="Arial" w:hAnsi="Arial"/>
          <w:sz w:val="18"/>
          <w:szCs w:val="18"/>
          <w:color w:val="auto"/>
        </w:rPr>
        <w:t>.</w:t>
      </w:r>
    </w:p>
    <w:p>
      <w:pPr>
        <w:spacing w:after="0" w:line="27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Financial instruments, which potentially subject the Company to concentrations of credit risk, consist principally of cash, cash equivalents and accounts receivable. The Company places its cash with high quality financial institutions. At times during the year, the balance at any one financial institution may exceed FDIC limits.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 and warrants</w:t>
      </w:r>
      <w:r>
        <w:rPr>
          <w:rFonts w:ascii="Arial" w:cs="Arial" w:eastAsia="Arial" w:hAnsi="Arial"/>
          <w:sz w:val="18"/>
          <w:szCs w:val="18"/>
          <w:color w:val="auto"/>
        </w:rPr>
        <w:t>.</w:t>
      </w:r>
    </w:p>
    <w:p>
      <w:pPr>
        <w:spacing w:after="0" w:line="2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has adopted the disclosure-only provisions of Statement of Financial Accounting Standards No. 123R “Share-Based Payment” related to its stock options and warrants. Since December 2001, the Company has had no outstanding stock options or warrants.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purposes of the statement of cash flows, the Company considers all highly liquid debt instruments purchased with maturity of three months or less to be cash equivalents.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w:t>
      </w:r>
    </w:p>
    <w:p>
      <w:pPr>
        <w:spacing w:after="0" w:line="27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provision for income taxes is based on earnings reported in the financial statements. Deferred income taxes are provided using a liability approach based upon enacted tax laws and rates applicable to the periods in which the taxes become payable.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accordance with the provisions of SFAS No. 128, “Earnings per Share,” basic income per common share amounts were computed by dividing net income after deduction of the net income attributable to the Company’s Series B preferred shares by the weighted average number of common shares outstanding during the period. Diluted income per common share assumes the conversion of all securities that are exercisable or convertible into either Series B preferred shares or common shares that would dilute the basic earnings per common share during the period.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Use of estimates</w:t>
      </w:r>
      <w:r>
        <w:rPr>
          <w:rFonts w:ascii="Arial" w:cs="Arial" w:eastAsia="Arial" w:hAnsi="Arial"/>
          <w:sz w:val="18"/>
          <w:szCs w:val="18"/>
          <w:color w:val="auto"/>
        </w:rPr>
        <w:t>.</w:t>
      </w:r>
    </w:p>
    <w:p>
      <w:pPr>
        <w:spacing w:after="0" w:line="27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3.</w:t>
            </w:r>
          </w:p>
        </w:tc>
        <w:tc>
          <w:tcPr>
            <w:tcW w:w="7760" w:type="dxa"/>
            <w:vAlign w:val="bottom"/>
          </w:tcPr>
          <w:p>
            <w:pPr>
              <w:ind w:left="120"/>
              <w:spacing w:after="0"/>
              <w:rPr>
                <w:sz w:val="20"/>
                <w:szCs w:val="20"/>
                <w:color w:val="auto"/>
              </w:rPr>
            </w:pPr>
            <w:r>
              <w:rPr>
                <w:rFonts w:ascii="Arial" w:cs="Arial" w:eastAsia="Arial" w:hAnsi="Arial"/>
                <w:sz w:val="18"/>
                <w:szCs w:val="18"/>
                <w:b w:val="1"/>
                <w:bCs w:val="1"/>
                <w:color w:val="auto"/>
              </w:rPr>
              <w:t>INCOME TAXES</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8360" w:type="dxa"/>
            <w:vAlign w:val="bottom"/>
            <w:gridSpan w:val="3"/>
          </w:tcPr>
          <w:p>
            <w:pPr>
              <w:spacing w:after="0"/>
              <w:rPr>
                <w:sz w:val="20"/>
                <w:szCs w:val="20"/>
                <w:color w:val="auto"/>
              </w:rPr>
            </w:pPr>
            <w:r>
              <w:rPr>
                <w:rFonts w:ascii="Arial" w:cs="Arial" w:eastAsia="Arial" w:hAnsi="Arial"/>
                <w:sz w:val="18"/>
                <w:szCs w:val="18"/>
                <w:color w:val="auto"/>
              </w:rPr>
              <w:t>The provisions for income taxes from operations consist of the following:</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3"/>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EEEEEE"/>
          </w:tcPr>
          <w:p>
            <w:pPr>
              <w:spacing w:after="0"/>
              <w:rPr>
                <w:sz w:val="20"/>
                <w:szCs w:val="20"/>
                <w:color w:val="auto"/>
              </w:rPr>
            </w:pPr>
            <w:r>
              <w:rPr>
                <w:rFonts w:ascii="Arial" w:cs="Arial" w:eastAsia="Arial" w:hAnsi="Arial"/>
                <w:sz w:val="18"/>
                <w:szCs w:val="18"/>
                <w:color w:val="auto"/>
                <w:w w:val="93"/>
              </w:rPr>
              <w:t>Current</w:t>
            </w:r>
          </w:p>
        </w:tc>
        <w:tc>
          <w:tcPr>
            <w:tcW w:w="7760" w:type="dxa"/>
            <w:vAlign w:val="bottom"/>
            <w:shd w:val="clear" w:color="auto" w:fill="EEEEEE"/>
          </w:tcPr>
          <w:p>
            <w:pPr>
              <w:ind w:left="40"/>
              <w:spacing w:after="0"/>
              <w:rPr>
                <w:sz w:val="20"/>
                <w:szCs w:val="20"/>
                <w:color w:val="auto"/>
              </w:rPr>
            </w:pPr>
            <w:r>
              <w:rPr>
                <w:rFonts w:ascii="Arial" w:cs="Arial" w:eastAsia="Arial" w:hAnsi="Arial"/>
                <w:sz w:val="18"/>
                <w:szCs w:val="18"/>
                <w:color w:val="auto"/>
              </w:rPr>
              <w:t>tax expense</w:t>
            </w:r>
          </w:p>
        </w:tc>
        <w:tc>
          <w:tcPr>
            <w:tcW w:w="7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110,000</w:t>
            </w:r>
          </w:p>
        </w:tc>
      </w:tr>
      <w:tr>
        <w:trPr>
          <w:trHeight w:val="223"/>
        </w:trPr>
        <w:tc>
          <w:tcPr>
            <w:tcW w:w="20" w:type="dxa"/>
            <w:vAlign w:val="bottom"/>
          </w:tcPr>
          <w:p>
            <w:pPr>
              <w:spacing w:after="0"/>
              <w:rPr>
                <w:sz w:val="19"/>
                <w:szCs w:val="19"/>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Deferred income tax expense</w:t>
            </w:r>
          </w:p>
        </w:tc>
        <w:tc>
          <w:tcPr>
            <w:tcW w:w="4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7760" w:type="dxa"/>
            <w:vAlign w:val="bottom"/>
            <w:shd w:val="clear" w:color="auto" w:fill="EEEEEE"/>
          </w:tcPr>
          <w:p>
            <w:pPr>
              <w:spacing w:after="0"/>
              <w:rPr>
                <w:sz w:val="20"/>
                <w:szCs w:val="20"/>
                <w:color w:val="auto"/>
              </w:rPr>
            </w:pPr>
          </w:p>
        </w:tc>
        <w:tc>
          <w:tcPr>
            <w:tcW w:w="7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110,000</w:t>
            </w: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EEEEEE"/>
            </w:tcBorders>
            <w:shd w:val="clear" w:color="auto" w:fill="EEEEEE"/>
          </w:tcPr>
          <w:p>
            <w:pPr>
              <w:spacing w:after="0" w:line="20" w:lineRule="exact"/>
              <w:rPr>
                <w:sz w:val="1"/>
                <w:szCs w:val="1"/>
                <w:color w:val="auto"/>
              </w:rPr>
            </w:pPr>
          </w:p>
        </w:tc>
        <w:tc>
          <w:tcPr>
            <w:tcW w:w="7760" w:type="dxa"/>
            <w:vAlign w:val="bottom"/>
            <w:tcBorders>
              <w:top w:val="single" w:sz="8" w:color="EEEEEE"/>
            </w:tcBorders>
            <w:shd w:val="clear" w:color="auto" w:fill="EEEEEE"/>
          </w:tcPr>
          <w:p>
            <w:pPr>
              <w:spacing w:after="0" w:line="20" w:lineRule="exact"/>
              <w:rPr>
                <w:sz w:val="1"/>
                <w:szCs w:val="1"/>
                <w:color w:val="auto"/>
              </w:rPr>
            </w:pPr>
          </w:p>
        </w:tc>
        <w:tc>
          <w:tcPr>
            <w:tcW w:w="46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EEEEEE"/>
            </w:tcBorders>
            <w:shd w:val="clear" w:color="auto" w:fill="000000"/>
          </w:tcPr>
          <w:p>
            <w:pPr>
              <w:spacing w:after="0" w:line="20" w:lineRule="exact"/>
              <w:rPr>
                <w:sz w:val="1"/>
                <w:szCs w:val="1"/>
                <w:color w:val="auto"/>
              </w:rPr>
            </w:pPr>
          </w:p>
        </w:tc>
        <w:tc>
          <w:tcPr>
            <w:tcW w:w="220" w:type="dxa"/>
            <w:vAlign w:val="bottom"/>
            <w:tcBorders>
              <w:top w:val="single" w:sz="8" w:color="EEEEEE"/>
              <w:right w:val="single" w:sz="8" w:color="auto"/>
            </w:tcBorders>
            <w:shd w:val="clear" w:color="auto" w:fill="EEEEEE"/>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r>
      <w:tr>
        <w:trPr>
          <w:trHeight w:val="480"/>
        </w:trPr>
        <w:tc>
          <w:tcPr>
            <w:tcW w:w="8360" w:type="dxa"/>
            <w:vAlign w:val="bottom"/>
            <w:gridSpan w:val="3"/>
          </w:tcPr>
          <w:p>
            <w:pPr>
              <w:spacing w:after="0"/>
              <w:rPr>
                <w:sz w:val="20"/>
                <w:szCs w:val="20"/>
                <w:color w:val="auto"/>
              </w:rPr>
            </w:pPr>
            <w:r>
              <w:rPr>
                <w:rFonts w:ascii="Arial" w:cs="Arial" w:eastAsia="Arial" w:hAnsi="Arial"/>
                <w:sz w:val="18"/>
                <w:szCs w:val="18"/>
                <w:color w:val="auto"/>
                <w:w w:val="96"/>
              </w:rPr>
              <w:t>A reconciliation of the Company’s effective income tax rate and the United States statutory rate is as follows:</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2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83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United States statutory rate</w:t>
            </w:r>
          </w:p>
        </w:tc>
        <w:tc>
          <w:tcPr>
            <w:tcW w:w="460" w:type="dxa"/>
            <w:vAlign w:val="bottom"/>
            <w:shd w:val="clear" w:color="auto" w:fill="EEEEEE"/>
          </w:tcPr>
          <w:p>
            <w:pPr>
              <w:spacing w:after="0"/>
              <w:rPr>
                <w:sz w:val="23"/>
                <w:szCs w:val="23"/>
                <w:color w:val="auto"/>
              </w:rPr>
            </w:pPr>
          </w:p>
        </w:tc>
        <w:tc>
          <w:tcPr>
            <w:tcW w:w="240" w:type="dxa"/>
            <w:vAlign w:val="bottom"/>
            <w:shd w:val="clear" w:color="auto" w:fill="EEEEEE"/>
          </w:tcPr>
          <w:p>
            <w:pPr>
              <w:spacing w:after="0"/>
              <w:rPr>
                <w:sz w:val="23"/>
                <w:szCs w:val="23"/>
                <w:color w:val="auto"/>
              </w:rPr>
            </w:pPr>
          </w:p>
        </w:tc>
        <w:tc>
          <w:tcPr>
            <w:tcW w:w="9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34.00 %</w:t>
            </w:r>
          </w:p>
        </w:tc>
        <w:tc>
          <w:tcPr>
            <w:tcW w:w="220" w:type="dxa"/>
            <w:vAlign w:val="bottom"/>
            <w:tcBorders>
              <w:right w:val="single" w:sz="8" w:color="EEEEEE"/>
            </w:tcBorders>
            <w:shd w:val="clear" w:color="auto" w:fill="EEEEEE"/>
          </w:tcPr>
          <w:p>
            <w:pPr>
              <w:spacing w:after="0"/>
              <w:rPr>
                <w:sz w:val="23"/>
                <w:szCs w:val="23"/>
                <w:color w:val="auto"/>
              </w:rPr>
            </w:pPr>
          </w:p>
        </w:tc>
        <w:tc>
          <w:tcPr>
            <w:tcW w:w="220" w:type="dxa"/>
            <w:vAlign w:val="bottom"/>
            <w:shd w:val="clear" w:color="auto" w:fill="EEEEEE"/>
          </w:tcPr>
          <w:p>
            <w:pPr>
              <w:spacing w:after="0"/>
              <w:rPr>
                <w:sz w:val="23"/>
                <w:szCs w:val="23"/>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34.00%</w:t>
            </w:r>
          </w:p>
        </w:tc>
        <w:tc>
          <w:tcPr>
            <w:tcW w:w="100" w:type="dxa"/>
            <w:vAlign w:val="bottom"/>
            <w:shd w:val="clear" w:color="auto" w:fill="EEEEEE"/>
          </w:tcPr>
          <w:p>
            <w:pPr>
              <w:spacing w:after="0"/>
              <w:rPr>
                <w:sz w:val="23"/>
                <w:szCs w:val="23"/>
                <w:color w:val="auto"/>
              </w:rPr>
            </w:pPr>
          </w:p>
        </w:tc>
      </w:tr>
      <w:tr>
        <w:trPr>
          <w:trHeight w:val="216"/>
        </w:trPr>
        <w:tc>
          <w:tcPr>
            <w:tcW w:w="20" w:type="dxa"/>
            <w:vAlign w:val="bottom"/>
          </w:tcPr>
          <w:p>
            <w:pPr>
              <w:spacing w:after="0"/>
              <w:rPr>
                <w:sz w:val="18"/>
                <w:szCs w:val="18"/>
                <w:color w:val="auto"/>
              </w:rPr>
            </w:pPr>
          </w:p>
        </w:tc>
        <w:tc>
          <w:tcPr>
            <w:tcW w:w="8340" w:type="dxa"/>
            <w:vAlign w:val="bottom"/>
            <w:gridSpan w:val="2"/>
          </w:tcPr>
          <w:p>
            <w:pPr>
              <w:spacing w:after="0"/>
              <w:rPr>
                <w:sz w:val="20"/>
                <w:szCs w:val="20"/>
                <w:color w:val="auto"/>
              </w:rPr>
            </w:pPr>
            <w:r>
              <w:rPr>
                <w:rFonts w:ascii="Arial" w:cs="Arial" w:eastAsia="Arial" w:hAnsi="Arial"/>
                <w:sz w:val="18"/>
                <w:szCs w:val="18"/>
                <w:color w:val="auto"/>
              </w:rPr>
              <w:t>State income taxes, net of Federal income tax benefit</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2.55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8"/>
                <w:szCs w:val="18"/>
                <w:color w:val="auto"/>
              </w:rPr>
            </w:pPr>
          </w:p>
        </w:tc>
      </w:tr>
      <w:tr>
        <w:trPr>
          <w:trHeight w:val="311"/>
        </w:trPr>
        <w:tc>
          <w:tcPr>
            <w:tcW w:w="20" w:type="dxa"/>
            <w:vAlign w:val="bottom"/>
          </w:tcPr>
          <w:p>
            <w:pPr>
              <w:spacing w:after="0"/>
              <w:rPr>
                <w:sz w:val="24"/>
                <w:szCs w:val="24"/>
                <w:color w:val="auto"/>
              </w:rPr>
            </w:pPr>
          </w:p>
        </w:tc>
        <w:tc>
          <w:tcPr>
            <w:tcW w:w="580" w:type="dxa"/>
            <w:vAlign w:val="bottom"/>
            <w:tcBorders>
              <w:bottom w:val="single" w:sz="8" w:color="EEEEEE"/>
            </w:tcBorders>
            <w:shd w:val="clear" w:color="auto" w:fill="EEEEEE"/>
          </w:tcPr>
          <w:p>
            <w:pPr>
              <w:spacing w:after="0"/>
              <w:rPr>
                <w:sz w:val="24"/>
                <w:szCs w:val="24"/>
                <w:color w:val="auto"/>
              </w:rPr>
            </w:pPr>
          </w:p>
        </w:tc>
        <w:tc>
          <w:tcPr>
            <w:tcW w:w="7760" w:type="dxa"/>
            <w:vAlign w:val="bottom"/>
            <w:tcBorders>
              <w:bottom w:val="single" w:sz="8" w:color="EEEEEE"/>
            </w:tcBorders>
            <w:shd w:val="clear" w:color="auto" w:fill="EEEEEE"/>
          </w:tcPr>
          <w:p>
            <w:pPr>
              <w:spacing w:after="0"/>
              <w:rPr>
                <w:sz w:val="24"/>
                <w:szCs w:val="24"/>
                <w:color w:val="auto"/>
              </w:rPr>
            </w:pPr>
          </w:p>
        </w:tc>
        <w:tc>
          <w:tcPr>
            <w:tcW w:w="460" w:type="dxa"/>
            <w:vAlign w:val="bottom"/>
            <w:tcBorders>
              <w:bottom w:val="single" w:sz="8" w:color="EEEEEE"/>
            </w:tcBorders>
            <w:shd w:val="clear" w:color="auto" w:fill="EEEEEE"/>
          </w:tcPr>
          <w:p>
            <w:pPr>
              <w:spacing w:after="0"/>
              <w:rPr>
                <w:sz w:val="24"/>
                <w:szCs w:val="24"/>
                <w:color w:val="auto"/>
              </w:rPr>
            </w:pPr>
          </w:p>
        </w:tc>
        <w:tc>
          <w:tcPr>
            <w:tcW w:w="240" w:type="dxa"/>
            <w:vAlign w:val="bottom"/>
            <w:tcBorders>
              <w:bottom w:val="single" w:sz="8" w:color="auto"/>
            </w:tcBorders>
            <w:shd w:val="clear" w:color="auto" w:fill="EEEEEE"/>
          </w:tcPr>
          <w:p>
            <w:pPr>
              <w:spacing w:after="0"/>
              <w:rPr>
                <w:sz w:val="24"/>
                <w:szCs w:val="24"/>
                <w:color w:val="auto"/>
              </w:rPr>
            </w:pPr>
          </w:p>
        </w:tc>
        <w:tc>
          <w:tcPr>
            <w:tcW w:w="920" w:type="dxa"/>
            <w:vAlign w:val="bottom"/>
            <w:tcBorders>
              <w:bottom w:val="single" w:sz="8" w:color="auto"/>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36.55%</w:t>
            </w:r>
          </w:p>
        </w:tc>
        <w:tc>
          <w:tcPr>
            <w:tcW w:w="220" w:type="dxa"/>
            <w:vAlign w:val="bottom"/>
            <w:tcBorders>
              <w:bottom w:val="single" w:sz="8" w:color="EEEEEE"/>
              <w:right w:val="single" w:sz="8" w:color="EEEEEE"/>
            </w:tcBorders>
            <w:shd w:val="clear" w:color="auto" w:fill="EEEEEE"/>
          </w:tcPr>
          <w:p>
            <w:pPr>
              <w:spacing w:after="0"/>
              <w:rPr>
                <w:sz w:val="24"/>
                <w:szCs w:val="24"/>
                <w:color w:val="auto"/>
              </w:rPr>
            </w:pPr>
          </w:p>
        </w:tc>
        <w:tc>
          <w:tcPr>
            <w:tcW w:w="220" w:type="dxa"/>
            <w:vAlign w:val="bottom"/>
            <w:tcBorders>
              <w:bottom w:val="single" w:sz="8" w:color="auto"/>
            </w:tcBorders>
            <w:shd w:val="clear" w:color="auto" w:fill="EEEEEE"/>
          </w:tcPr>
          <w:p>
            <w:pPr>
              <w:spacing w:after="0"/>
              <w:rPr>
                <w:sz w:val="24"/>
                <w:szCs w:val="24"/>
                <w:color w:val="auto"/>
              </w:rPr>
            </w:pP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36.55%</w:t>
            </w:r>
          </w:p>
        </w:tc>
        <w:tc>
          <w:tcPr>
            <w:tcW w:w="100" w:type="dxa"/>
            <w:vAlign w:val="bottom"/>
            <w:tcBorders>
              <w:bottom w:val="single" w:sz="8" w:color="EEEEEE"/>
            </w:tcBorders>
            <w:shd w:val="clear" w:color="auto" w:fill="EEEEEE"/>
          </w:tcPr>
          <w:p>
            <w:pPr>
              <w:spacing w:after="0"/>
              <w:rPr>
                <w:sz w:val="24"/>
                <w:szCs w:val="24"/>
                <w:color w:val="auto"/>
              </w:rPr>
            </w:pPr>
          </w:p>
        </w:tc>
      </w:tr>
    </w:tbl>
    <w:p>
      <w:pPr>
        <w:spacing w:after="0" w:line="256"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Deferred taxes results primarily from state net operating loss carry forwards and capital loss carry forwards and asset basis differences between book and income tax depreciation and depletion methods. In addition, the Company uses percentage depletion which does not create a basis difference between book and tax above the book/tax cost depletion. The income tax percentage depletion continues to exceed book depletion and is considered a permanent difference.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2008 and 2007, total deferred tax assets, liabilities and valuation allowance are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Deferred tax assets resulting from:</w:t>
            </w:r>
          </w:p>
        </w:tc>
        <w:tc>
          <w:tcPr>
            <w:tcW w:w="4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EEEEEE"/>
          </w:tcPr>
          <w:p>
            <w:pPr>
              <w:spacing w:after="0"/>
              <w:rPr>
                <w:sz w:val="20"/>
                <w:szCs w:val="20"/>
                <w:color w:val="auto"/>
              </w:rPr>
            </w:pPr>
            <w:r>
              <w:rPr>
                <w:rFonts w:ascii="Arial" w:cs="Arial" w:eastAsia="Arial" w:hAnsi="Arial"/>
                <w:sz w:val="18"/>
                <w:szCs w:val="18"/>
                <w:color w:val="auto"/>
              </w:rPr>
              <w:t>Net operating loss carry forwards</w:t>
            </w:r>
          </w:p>
        </w:tc>
        <w:tc>
          <w:tcPr>
            <w:tcW w:w="50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145,000</w:t>
            </w:r>
          </w:p>
        </w:tc>
        <w:tc>
          <w:tcPr>
            <w:tcW w:w="3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(145,000)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000" w:type="dxa"/>
            <w:vAlign w:val="bottom"/>
            <w:shd w:val="clear" w:color="auto" w:fill="EEEEEE"/>
          </w:tcPr>
          <w:p>
            <w:pPr>
              <w:spacing w:after="0"/>
              <w:rPr>
                <w:sz w:val="22"/>
                <w:szCs w:val="22"/>
                <w:color w:val="auto"/>
              </w:rPr>
            </w:pPr>
          </w:p>
        </w:tc>
        <w:tc>
          <w:tcPr>
            <w:tcW w:w="504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EEEEEE"/>
          </w:tcPr>
          <w:p>
            <w:pPr>
              <w:spacing w:after="0"/>
              <w:rPr>
                <w:sz w:val="22"/>
                <w:szCs w:val="22"/>
                <w:color w:val="auto"/>
              </w:rPr>
            </w:pPr>
          </w:p>
        </w:tc>
        <w:tc>
          <w:tcPr>
            <w:tcW w:w="3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4000" w:type="dxa"/>
            <w:vAlign w:val="bottom"/>
            <w:tcBorders>
              <w:top w:val="single" w:sz="8" w:color="EEEEEE"/>
            </w:tcBorders>
          </w:tcPr>
          <w:p>
            <w:pPr>
              <w:spacing w:after="0"/>
              <w:rPr>
                <w:sz w:val="24"/>
                <w:szCs w:val="24"/>
                <w:color w:val="auto"/>
              </w:rPr>
            </w:pPr>
          </w:p>
        </w:tc>
        <w:tc>
          <w:tcPr>
            <w:tcW w:w="4800" w:type="dxa"/>
            <w:vAlign w:val="bottom"/>
            <w:tcBorders>
              <w:top w:val="single" w:sz="8" w:color="EEEEEE"/>
            </w:tcBorders>
          </w:tcPr>
          <w:p>
            <w:pPr>
              <w:ind w:left="1520"/>
              <w:spacing w:after="0"/>
              <w:rPr>
                <w:sz w:val="20"/>
                <w:szCs w:val="20"/>
                <w:color w:val="auto"/>
              </w:rPr>
            </w:pPr>
            <w:r>
              <w:rPr>
                <w:rFonts w:ascii="Arial" w:cs="Arial" w:eastAsia="Arial" w:hAnsi="Arial"/>
                <w:sz w:val="18"/>
                <w:szCs w:val="18"/>
                <w:color w:val="auto"/>
              </w:rPr>
              <w:t>F-10</w:t>
            </w: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Borders>
              <w:top w:val="single" w:sz="8" w:color="EEEEEE"/>
            </w:tcBorders>
          </w:tcPr>
          <w:p>
            <w:pPr>
              <w:spacing w:after="0"/>
              <w:rPr>
                <w:sz w:val="24"/>
                <w:szCs w:val="24"/>
                <w:color w:val="auto"/>
              </w:rPr>
            </w:pPr>
          </w:p>
        </w:tc>
        <w:tc>
          <w:tcPr>
            <w:tcW w:w="80" w:type="dxa"/>
            <w:vAlign w:val="bottom"/>
            <w:tcBorders>
              <w:top w:val="single" w:sz="8" w:color="EEEEEE"/>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EEEEEE"/>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c>
          <w:tcPr>
            <w:tcW w:w="48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7" w:right="239" w:bottom="1440" w:gutter="0" w:footer="0" w:header="0"/>
        </w:sectPr>
      </w:pPr>
    </w:p>
    <w:bookmarkStart w:id="25" w:name="page26"/>
    <w:bookmarkEnd w:id="25"/>
    <w:p>
      <w:pPr>
        <w:ind w:right="120"/>
        <w:spacing w:after="0" w:line="277" w:lineRule="auto"/>
        <w:rPr>
          <w:sz w:val="20"/>
          <w:szCs w:val="20"/>
          <w:color w:val="auto"/>
        </w:rPr>
      </w:pPr>
      <w:r>
        <w:rPr>
          <w:rFonts w:ascii="Arial" w:cs="Arial" w:eastAsia="Arial" w:hAnsi="Arial"/>
          <w:sz w:val="18"/>
          <w:szCs w:val="18"/>
          <w:color w:val="auto"/>
        </w:rPr>
        <w:t>A 100% valuation has been established against the deferred tax assets, as utilization of the net operating and capital loss carry forwards cannot be reasonably assured.</w:t>
      </w:r>
    </w:p>
    <w:p>
      <w:pPr>
        <w:spacing w:after="0" w:line="220" w:lineRule="exact"/>
        <w:rPr>
          <w:sz w:val="20"/>
          <w:szCs w:val="20"/>
          <w:color w:val="auto"/>
        </w:rPr>
      </w:pPr>
    </w:p>
    <w:p>
      <w:pPr>
        <w:ind w:left="720" w:hanging="712"/>
        <w:spacing w:after="0"/>
        <w:tabs>
          <w:tab w:leader="none" w:pos="7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INCOME (LOSS) PER COMMON SHARE</w:t>
      </w:r>
    </w:p>
    <w:p>
      <w:pPr>
        <w:spacing w:after="0" w:line="28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Basic income (loss) per common share information is based on the weighted average number of shares of common stock outstanding during each year, approximately 888,503 shares in 2008, and 551,244 shares in 2007.</w:t>
      </w:r>
    </w:p>
    <w:p>
      <w:pPr>
        <w:spacing w:after="0" w:line="220" w:lineRule="exact"/>
        <w:rPr>
          <w:sz w:val="20"/>
          <w:szCs w:val="20"/>
          <w:color w:val="auto"/>
        </w:rPr>
      </w:pPr>
    </w:p>
    <w:p>
      <w:pPr>
        <w:ind w:left="720" w:hanging="712"/>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28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December 31, 2007, pursuant to a plan adopted by the Company’s shareholders, the Company had transferred its oil and gas operations to a company owned by the holders of the Company’s Series B preferred shares. The effect of those discontinued operations on the Company is included in the Schedule of Discontinued Operations as of December 31, 2007, set out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60" w:type="dxa"/>
            <w:vAlign w:val="bottom"/>
          </w:tcPr>
          <w:p>
            <w:pPr>
              <w:ind w:left="3820"/>
              <w:spacing w:after="0"/>
              <w:rPr>
                <w:sz w:val="20"/>
                <w:szCs w:val="20"/>
                <w:color w:val="auto"/>
              </w:rPr>
            </w:pPr>
            <w:r>
              <w:rPr>
                <w:rFonts w:ascii="Arial" w:cs="Arial" w:eastAsia="Arial" w:hAnsi="Arial"/>
                <w:sz w:val="18"/>
                <w:szCs w:val="18"/>
                <w:color w:val="auto"/>
              </w:rPr>
              <w:t>SCHEDULE OF DISCONTINUED OPERATIONS</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60" w:type="dxa"/>
            <w:vAlign w:val="bottom"/>
          </w:tcPr>
          <w:p>
            <w:pPr>
              <w:ind w:left="4300"/>
              <w:spacing w:after="0"/>
              <w:rPr>
                <w:sz w:val="20"/>
                <w:szCs w:val="20"/>
                <w:color w:val="auto"/>
              </w:rPr>
            </w:pPr>
            <w:r>
              <w:rPr>
                <w:rFonts w:ascii="Arial" w:cs="Arial" w:eastAsia="Arial" w:hAnsi="Arial"/>
                <w:sz w:val="18"/>
                <w:szCs w:val="18"/>
                <w:color w:val="auto"/>
              </w:rPr>
              <w:t>For the year ended December 31, 2007</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180" w:type="dxa"/>
            <w:vAlign w:val="bottom"/>
            <w:gridSpan w:val="2"/>
          </w:tcPr>
          <w:p>
            <w:pPr>
              <w:spacing w:after="0"/>
              <w:rPr>
                <w:sz w:val="20"/>
                <w:szCs w:val="20"/>
                <w:color w:val="auto"/>
              </w:rPr>
            </w:pPr>
            <w:r>
              <w:rPr>
                <w:rFonts w:ascii="Arial" w:cs="Arial" w:eastAsia="Arial" w:hAnsi="Arial"/>
                <w:sz w:val="18"/>
                <w:szCs w:val="18"/>
                <w:color w:val="auto"/>
              </w:rPr>
              <w:t>Revenues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Oil and natural gas sales</w:t>
            </w:r>
          </w:p>
        </w:tc>
        <w:tc>
          <w:tcPr>
            <w:tcW w:w="320" w:type="dxa"/>
            <w:vAlign w:val="bottom"/>
            <w:shd w:val="clear" w:color="auto" w:fill="EEEEEE"/>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876,505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Pr>
          <w:p>
            <w:pPr>
              <w:ind w:left="160"/>
              <w:spacing w:after="0"/>
              <w:rPr>
                <w:sz w:val="20"/>
                <w:szCs w:val="20"/>
                <w:color w:val="auto"/>
              </w:rPr>
            </w:pPr>
            <w:r>
              <w:rPr>
                <w:rFonts w:ascii="Arial" w:cs="Arial" w:eastAsia="Arial" w:hAnsi="Arial"/>
                <w:sz w:val="18"/>
                <w:szCs w:val="18"/>
                <w:color w:val="auto"/>
              </w:rPr>
              <w:t>Other income (lease payments)</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spacing w:after="0"/>
              <w:rPr>
                <w:sz w:val="19"/>
                <w:szCs w:val="19"/>
                <w:color w:val="auto"/>
              </w:rPr>
            </w:pPr>
          </w:p>
        </w:tc>
        <w:tc>
          <w:tcPr>
            <w:tcW w:w="8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876,505</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EEEEEE"/>
          </w:tcPr>
          <w:p>
            <w:pPr>
              <w:spacing w:after="0"/>
              <w:rPr>
                <w:sz w:val="20"/>
                <w:szCs w:val="20"/>
                <w:color w:val="auto"/>
              </w:rPr>
            </w:pPr>
            <w:r>
              <w:rPr>
                <w:rFonts w:ascii="Arial" w:cs="Arial" w:eastAsia="Arial" w:hAnsi="Arial"/>
                <w:sz w:val="18"/>
                <w:szCs w:val="18"/>
                <w:color w:val="auto"/>
              </w:rPr>
              <w:t>Expenses</w:t>
            </w:r>
          </w:p>
        </w:tc>
        <w:tc>
          <w:tcPr>
            <w:tcW w:w="3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160"/>
              <w:spacing w:after="0"/>
              <w:rPr>
                <w:sz w:val="20"/>
                <w:szCs w:val="20"/>
                <w:color w:val="auto"/>
              </w:rPr>
            </w:pPr>
            <w:r>
              <w:rPr>
                <w:rFonts w:ascii="Arial" w:cs="Arial" w:eastAsia="Arial" w:hAnsi="Arial"/>
                <w:sz w:val="18"/>
                <w:szCs w:val="18"/>
                <w:color w:val="auto"/>
              </w:rPr>
              <w:t>Lease operating expense including production taxes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Proposed drilling program</w:t>
            </w:r>
          </w:p>
        </w:tc>
        <w:tc>
          <w:tcPr>
            <w:tcW w:w="32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78,140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Overhead expense, related party</w:t>
            </w:r>
          </w:p>
        </w:tc>
        <w:tc>
          <w:tcPr>
            <w:tcW w:w="32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27,258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160"/>
              <w:spacing w:after="0"/>
              <w:rPr>
                <w:sz w:val="20"/>
                <w:szCs w:val="20"/>
                <w:color w:val="auto"/>
              </w:rPr>
            </w:pPr>
            <w:r>
              <w:rPr>
                <w:rFonts w:ascii="Arial" w:cs="Arial" w:eastAsia="Arial" w:hAnsi="Arial"/>
                <w:sz w:val="18"/>
                <w:szCs w:val="18"/>
                <w:color w:val="auto"/>
              </w:rPr>
              <w:t>(Gain) loss on sale of assets</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108,489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Accretion expense</w:t>
            </w:r>
          </w:p>
        </w:tc>
        <w:tc>
          <w:tcPr>
            <w:tcW w:w="32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7,157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Pr>
          <w:p>
            <w:pPr>
              <w:ind w:left="160"/>
              <w:spacing w:after="0"/>
              <w:rPr>
                <w:sz w:val="20"/>
                <w:szCs w:val="20"/>
                <w:color w:val="auto"/>
              </w:rPr>
            </w:pPr>
            <w:r>
              <w:rPr>
                <w:rFonts w:ascii="Arial" w:cs="Arial" w:eastAsia="Arial" w:hAnsi="Arial"/>
                <w:sz w:val="18"/>
                <w:szCs w:val="18"/>
                <w:color w:val="auto"/>
              </w:rPr>
              <w:t>Depletion and depreciation</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Borders>
              <w:bottom w:val="single" w:sz="8" w:color="EEEEEE"/>
            </w:tcBorders>
            <w:shd w:val="clear" w:color="auto" w:fill="EEEEEE"/>
          </w:tcPr>
          <w:p>
            <w:pPr>
              <w:spacing w:after="0"/>
              <w:rPr>
                <w:sz w:val="19"/>
                <w:szCs w:val="19"/>
                <w:color w:val="auto"/>
              </w:rPr>
            </w:pPr>
          </w:p>
        </w:tc>
        <w:tc>
          <w:tcPr>
            <w:tcW w:w="320" w:type="dxa"/>
            <w:vAlign w:val="bottom"/>
            <w:tcBorders>
              <w:bottom w:val="single" w:sz="8" w:color="auto"/>
            </w:tcBorders>
            <w:shd w:val="clear" w:color="auto" w:fill="EEEEEE"/>
          </w:tcPr>
          <w:p>
            <w:pPr>
              <w:spacing w:after="0"/>
              <w:rPr>
                <w:sz w:val="19"/>
                <w:szCs w:val="19"/>
                <w:color w:val="auto"/>
              </w:rPr>
            </w:pPr>
          </w:p>
        </w:tc>
        <w:tc>
          <w:tcPr>
            <w:tcW w:w="8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544,963</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Net income from discontinued operations</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720" w:hanging="712"/>
        <w:spacing w:after="0"/>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83"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the year ended December 31, 2008, the Company issued 500,000 shares of common stock valued at $250,000 to Terrace Lane LLC for services rendered. Terrace Lane LLC is a majority shareholder in the Company.</w:t>
      </w:r>
    </w:p>
    <w:p>
      <w:pPr>
        <w:spacing w:after="0" w:line="22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During the year ended December 31, 2008, the Company paid David Hamilton $33,000 for legal services rendered. Mr. Hamilton is a director of the Company.</w:t>
      </w:r>
    </w:p>
    <w:p>
      <w:pPr>
        <w:spacing w:after="0" w:line="220" w:lineRule="exact"/>
        <w:rPr>
          <w:sz w:val="20"/>
          <w:szCs w:val="20"/>
          <w:color w:val="auto"/>
        </w:rPr>
      </w:pPr>
    </w:p>
    <w:p>
      <w:pPr>
        <w:ind w:left="680" w:hanging="672"/>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TREASURY STOCK CANCELLATION</w:t>
      </w:r>
    </w:p>
    <w:p>
      <w:pPr>
        <w:spacing w:after="0" w:line="2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year ended December 31, 2008, the Company cancelled 103,107 treasury shares with a cost value of $154,364. Due to a lack of record availability as to the original sales price of the treasury shares, all amounts over par value of $10,317, being $144,047, have been recorded as a reduction to paid in capital.</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EXHIBIT 10</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SHARE ISSUANCE AGREEMENT</w:t>
      </w:r>
    </w:p>
    <w:p>
      <w:pPr>
        <w:spacing w:after="0" w:line="200" w:lineRule="exact"/>
        <w:rPr>
          <w:sz w:val="20"/>
          <w:szCs w:val="20"/>
          <w:color w:val="auto"/>
        </w:rPr>
      </w:pPr>
    </w:p>
    <w:p>
      <w:pPr>
        <w:spacing w:after="0" w:line="353"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This Share Issuance Agreement (the “Agreement”) is entered into as of June 18, 2008 (the “Effective Date”), by and between Terrace Lane, LLC (“TL”) and Croff Enterprises, Inc. (“Croff”), with reference to the following facts and circumstances:</w:t>
      </w:r>
    </w:p>
    <w:p>
      <w:pPr>
        <w:spacing w:after="0" w:line="197" w:lineRule="exact"/>
        <w:rPr>
          <w:sz w:val="20"/>
          <w:szCs w:val="20"/>
          <w:color w:val="auto"/>
        </w:rPr>
      </w:pPr>
    </w:p>
    <w:p>
      <w:pPr>
        <w:ind w:left="1240" w:hanging="584"/>
        <w:spacing w:after="0"/>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Croff is presently engaged in a search for a merger partner and TL is capable of helping Croff with that search.</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NOW, THEREFORE, for good and valuable consideration, the receipt and adequacy of which is hereby acknowledged, the parties hereto agree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61" w:lineRule="exact"/>
        <w:rPr>
          <w:sz w:val="20"/>
          <w:szCs w:val="20"/>
          <w:color w:val="auto"/>
        </w:rPr>
      </w:pPr>
    </w:p>
    <w:p>
      <w:pPr>
        <w:ind w:firstLine="656"/>
        <w:spacing w:after="0" w:line="289" w:lineRule="auto"/>
        <w:tabs>
          <w:tab w:leader="none" w:pos="1278" w:val="left"/>
        </w:tabs>
        <w:numPr>
          <w:ilvl w:val="0"/>
          <w:numId w:val="12"/>
        </w:numPr>
        <w:rPr>
          <w:rFonts w:ascii="Arial" w:cs="Arial" w:eastAsia="Arial" w:hAnsi="Arial"/>
          <w:sz w:val="17"/>
          <w:szCs w:val="17"/>
          <w:color w:val="auto"/>
        </w:rPr>
      </w:pPr>
      <w:r>
        <w:rPr>
          <w:rFonts w:ascii="Arial" w:cs="Arial" w:eastAsia="Arial" w:hAnsi="Arial"/>
          <w:sz w:val="17"/>
          <w:szCs w:val="17"/>
          <w:b w:val="1"/>
          <w:bCs w:val="1"/>
          <w:u w:val="single" w:color="auto"/>
          <w:color w:val="auto"/>
        </w:rPr>
        <w:t>Services to be Rendered by TL</w:t>
      </w:r>
      <w:r>
        <w:rPr>
          <w:rFonts w:ascii="Arial" w:cs="Arial" w:eastAsia="Arial" w:hAnsi="Arial"/>
          <w:sz w:val="17"/>
          <w:szCs w:val="17"/>
          <w:color w:val="auto"/>
        </w:rPr>
        <w:t>. Until June 17, 2009 (the “Termination Date”), TL shall use reasonable commercial efforts to locate one or</w:t>
      </w:r>
      <w:r>
        <w:rPr>
          <w:rFonts w:ascii="Arial" w:cs="Arial" w:eastAsia="Arial" w:hAnsi="Arial"/>
          <w:sz w:val="17"/>
          <w:szCs w:val="17"/>
          <w:b w:val="1"/>
          <w:bCs w:val="1"/>
          <w:color w:val="auto"/>
        </w:rPr>
        <w:t xml:space="preserve"> </w:t>
      </w:r>
      <w:r>
        <w:rPr>
          <w:rFonts w:ascii="Arial" w:cs="Arial" w:eastAsia="Arial" w:hAnsi="Arial"/>
          <w:sz w:val="17"/>
          <w:szCs w:val="17"/>
          <w:color w:val="auto"/>
        </w:rPr>
        <w:t>more potential merger partner(s) for Croff which meet Croff’s specifications (as communicated to TL from time-to-time). It is understood and agreed that any decision to proceed with a transaction with a potential merger partner shall be in Croff’s sole and absolute discretion.</w:t>
      </w:r>
    </w:p>
    <w:p>
      <w:pPr>
        <w:spacing w:after="0" w:line="212" w:lineRule="exact"/>
        <w:rPr>
          <w:rFonts w:ascii="Arial" w:cs="Arial" w:eastAsia="Arial" w:hAnsi="Arial"/>
          <w:sz w:val="17"/>
          <w:szCs w:val="17"/>
          <w:color w:val="auto"/>
        </w:rPr>
      </w:pPr>
    </w:p>
    <w:p>
      <w:pPr>
        <w:ind w:firstLine="656"/>
        <w:spacing w:after="0" w:line="255" w:lineRule="auto"/>
        <w:tabs>
          <w:tab w:leader="none" w:pos="1278"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 to TL</w:t>
      </w:r>
      <w:r>
        <w:rPr>
          <w:rFonts w:ascii="Arial" w:cs="Arial" w:eastAsia="Arial" w:hAnsi="Arial"/>
          <w:sz w:val="18"/>
          <w:szCs w:val="18"/>
          <w:color w:val="auto"/>
        </w:rPr>
        <w:t>. In consideration of TL’s services, on or about the Effective Date Croff shall issue to TL 500,000 shares of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(the “Shares”); provided, however, that if, by the Termination Date, TL has not located a potential merger partner that is acceptable to Croff (in its sole and absolute discretion) one-half (50%) of the Shares shall be deemed automatically cancelled as of the Termination Date without any further act on the part of TL or Croff and the certificate(s) therefore shall be promptly returned to Croff.</w:t>
      </w:r>
    </w:p>
    <w:p>
      <w:pPr>
        <w:spacing w:after="0" w:line="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right="40" w:firstLine="656"/>
        <w:spacing w:after="0" w:line="261" w:lineRule="auto"/>
        <w:tabs>
          <w:tab w:leader="none" w:pos="1278"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 by Croff</w:t>
      </w:r>
      <w:r>
        <w:rPr>
          <w:rFonts w:ascii="Arial" w:cs="Arial" w:eastAsia="Arial" w:hAnsi="Arial"/>
          <w:sz w:val="18"/>
          <w:szCs w:val="18"/>
          <w:color w:val="auto"/>
        </w:rPr>
        <w:t>. Croff represents and warrants to TL as follows (such representations and warranties to survive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completion of the issuance of the Shares to TL):</w:t>
      </w:r>
    </w:p>
    <w:p>
      <w:pPr>
        <w:spacing w:after="0" w:line="238" w:lineRule="exact"/>
        <w:rPr>
          <w:sz w:val="20"/>
          <w:szCs w:val="20"/>
          <w:color w:val="auto"/>
        </w:rPr>
      </w:pPr>
    </w:p>
    <w:p>
      <w:pPr>
        <w:ind w:left="1260" w:hanging="604"/>
        <w:spacing w:after="0"/>
        <w:tabs>
          <w:tab w:leader="none" w:pos="12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Croff has the full right, power and authority to sell, transfer and deliver the Shares to TL.</w:t>
      </w:r>
    </w:p>
    <w:p>
      <w:pPr>
        <w:spacing w:after="0" w:line="279" w:lineRule="exact"/>
        <w:rPr>
          <w:rFonts w:ascii="Arial" w:cs="Arial" w:eastAsia="Arial" w:hAnsi="Arial"/>
          <w:sz w:val="18"/>
          <w:szCs w:val="18"/>
          <w:color w:val="auto"/>
        </w:rPr>
      </w:pPr>
    </w:p>
    <w:p>
      <w:pPr>
        <w:ind w:right="40" w:firstLine="656"/>
        <w:spacing w:after="0" w:line="291" w:lineRule="auto"/>
        <w:tabs>
          <w:tab w:leader="none" w:pos="1263" w:val="left"/>
        </w:tabs>
        <w:numPr>
          <w:ilvl w:val="1"/>
          <w:numId w:val="13"/>
        </w:numPr>
        <w:rPr>
          <w:rFonts w:ascii="Arial" w:cs="Arial" w:eastAsia="Arial" w:hAnsi="Arial"/>
          <w:sz w:val="16"/>
          <w:szCs w:val="16"/>
          <w:color w:val="auto"/>
        </w:rPr>
      </w:pPr>
      <w:r>
        <w:rPr>
          <w:rFonts w:ascii="Arial" w:cs="Arial" w:eastAsia="Arial" w:hAnsi="Arial"/>
          <w:sz w:val="16"/>
          <w:szCs w:val="16"/>
          <w:color w:val="auto"/>
        </w:rPr>
        <w:t>Upon delivery of the certificates for the Shares, TL will have good, valid and marketable title thereto free and clear of any restriction, claim, lien, charge, encumbrance or equity whatsoever except (i) such restrictions on transfer as are required under federal and applicable state securities laws and</w:t>
      </w:r>
    </w:p>
    <w:p>
      <w:pPr>
        <w:ind w:left="280" w:hanging="272"/>
        <w:spacing w:after="0"/>
        <w:tabs>
          <w:tab w:leader="none" w:pos="2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 provided in this Agreement.</w:t>
      </w:r>
    </w:p>
    <w:p>
      <w:pPr>
        <w:spacing w:after="0" w:line="261" w:lineRule="exact"/>
        <w:rPr>
          <w:sz w:val="20"/>
          <w:szCs w:val="20"/>
          <w:color w:val="auto"/>
        </w:rPr>
      </w:pPr>
    </w:p>
    <w:p>
      <w:pPr>
        <w:ind w:right="200" w:firstLine="656"/>
        <w:spacing w:after="0" w:line="282" w:lineRule="auto"/>
        <w:tabs>
          <w:tab w:leader="none" w:pos="1278"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Representations and Warranties by TL</w:t>
      </w:r>
      <w:r>
        <w:rPr>
          <w:rFonts w:ascii="Arial" w:cs="Arial" w:eastAsia="Arial" w:hAnsi="Arial"/>
          <w:sz w:val="18"/>
          <w:szCs w:val="18"/>
          <w:color w:val="auto"/>
        </w:rPr>
        <w:t>. TL represents and warrants to Croff as follows (such representations and warranties to survive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completion of the issuance of the Shares to TL):</w:t>
      </w:r>
    </w:p>
    <w:p>
      <w:pPr>
        <w:spacing w:after="0" w:line="220" w:lineRule="exact"/>
        <w:rPr>
          <w:sz w:val="20"/>
          <w:szCs w:val="20"/>
          <w:color w:val="auto"/>
        </w:rPr>
      </w:pPr>
    </w:p>
    <w:p>
      <w:pPr>
        <w:ind w:right="360" w:firstLine="656"/>
        <w:spacing w:after="0" w:line="277" w:lineRule="auto"/>
        <w:tabs>
          <w:tab w:leader="none" w:pos="12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TL is acquiring the Shares for its own account and not for the beneficial interest of any other person and not with a view to or for sale in connection with any distribution of the Shares.</w:t>
      </w:r>
    </w:p>
    <w:p>
      <w:pPr>
        <w:spacing w:after="0" w:line="224" w:lineRule="exact"/>
        <w:rPr>
          <w:rFonts w:ascii="Arial" w:cs="Arial" w:eastAsia="Arial" w:hAnsi="Arial"/>
          <w:sz w:val="18"/>
          <w:szCs w:val="18"/>
          <w:color w:val="auto"/>
        </w:rPr>
      </w:pPr>
    </w:p>
    <w:p>
      <w:pPr>
        <w:ind w:right="60" w:firstLine="656"/>
        <w:spacing w:after="0" w:line="277" w:lineRule="auto"/>
        <w:tabs>
          <w:tab w:leader="none" w:pos="1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TL is aware that the certificates for the Shares shall bear the usual “1933 Act” restrictive legend. In addition, a certificate for 250,000 of the Shares shall bear the following </w:t>
      </w:r>
      <w:r>
        <w:rPr>
          <w:rFonts w:ascii="Arial" w:cs="Arial" w:eastAsia="Arial" w:hAnsi="Arial"/>
          <w:sz w:val="18"/>
          <w:szCs w:val="18"/>
          <w:u w:val="single" w:color="auto"/>
          <w:color w:val="auto"/>
        </w:rPr>
        <w:t>additional</w:t>
      </w:r>
      <w:r>
        <w:rPr>
          <w:rFonts w:ascii="Arial" w:cs="Arial" w:eastAsia="Arial" w:hAnsi="Arial"/>
          <w:sz w:val="18"/>
          <w:szCs w:val="18"/>
          <w:color w:val="auto"/>
        </w:rPr>
        <w:t xml:space="preserve"> legend:</w:t>
      </w:r>
    </w:p>
    <w:p>
      <w:pPr>
        <w:spacing w:after="0" w:line="224" w:lineRule="exact"/>
        <w:rPr>
          <w:sz w:val="20"/>
          <w:szCs w:val="20"/>
          <w:color w:val="auto"/>
        </w:rPr>
      </w:pPr>
    </w:p>
    <w:p>
      <w:pPr>
        <w:ind w:left="660" w:right="1160"/>
        <w:spacing w:after="0" w:line="264" w:lineRule="auto"/>
        <w:rPr>
          <w:sz w:val="20"/>
          <w:szCs w:val="20"/>
          <w:color w:val="auto"/>
        </w:rPr>
      </w:pPr>
      <w:r>
        <w:rPr>
          <w:rFonts w:ascii="Arial" w:cs="Arial" w:eastAsia="Arial" w:hAnsi="Arial"/>
          <w:sz w:val="18"/>
          <w:szCs w:val="18"/>
          <w:color w:val="auto"/>
        </w:rPr>
        <w:t>“THE SHARES EVIDENCED BY THIS CERTIFICATE ARE SUBJECT TO CANCELLATION UPON THE OCCURRENCE OF CERTAIN EVENTS, AS SPECIFIED IN THE STOCK ISSUANCE AGREEMENT BETWEEN THE COMPANY AND TERRACE LANE, LLC DATED AS OF JUNE 18, 2008.”</w:t>
      </w:r>
    </w:p>
    <w:p>
      <w:pPr>
        <w:spacing w:after="0" w:line="235" w:lineRule="exact"/>
        <w:rPr>
          <w:sz w:val="20"/>
          <w:szCs w:val="20"/>
          <w:color w:val="auto"/>
        </w:rPr>
      </w:pPr>
    </w:p>
    <w:p>
      <w:pPr>
        <w:ind w:right="420" w:firstLine="656"/>
        <w:spacing w:after="0" w:line="308" w:lineRule="auto"/>
        <w:tabs>
          <w:tab w:leader="none" w:pos="1295" w:val="left"/>
        </w:tabs>
        <w:numPr>
          <w:ilvl w:val="0"/>
          <w:numId w:val="17"/>
        </w:numPr>
        <w:rPr>
          <w:rFonts w:ascii="Arial" w:cs="Arial" w:eastAsia="Arial" w:hAnsi="Arial"/>
          <w:sz w:val="17"/>
          <w:szCs w:val="17"/>
          <w:color w:val="auto"/>
        </w:rPr>
      </w:pPr>
      <w:r>
        <w:rPr>
          <w:rFonts w:ascii="Arial" w:cs="Arial" w:eastAsia="Arial" w:hAnsi="Arial"/>
          <w:sz w:val="17"/>
          <w:szCs w:val="17"/>
          <w:color w:val="auto"/>
        </w:rPr>
        <w:t>TL has been furnished with all information relating to the business, finances and operations of Croff that it has requested and it and its advisors, if any, have been afforded the opportunity to ask all questions about Croff as they have in their discretion deemed advisable.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ind w:left="-656" w:right="260" w:firstLine="656"/>
        <w:spacing w:after="0" w:line="277" w:lineRule="auto"/>
        <w:tabs>
          <w:tab w:leader="none" w:pos="6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TL is aware that its investment in Croff involves a high degree of risk and acknowledges that it has sought such accounting, legal and tax advice as it has considered necessary to make an informed investment decision with respect to such investment.</w:t>
      </w:r>
    </w:p>
    <w:p>
      <w:pPr>
        <w:spacing w:after="0" w:line="220" w:lineRule="exact"/>
        <w:rPr>
          <w:sz w:val="20"/>
          <w:szCs w:val="20"/>
          <w:color w:val="auto"/>
        </w:rPr>
      </w:pPr>
    </w:p>
    <w:p>
      <w:pPr>
        <w:ind w:left="684" w:hanging="684"/>
        <w:spacing w:after="0"/>
        <w:tabs>
          <w:tab w:leader="none" w:pos="684"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 Provisions</w:t>
      </w:r>
      <w:r>
        <w:rPr>
          <w:rFonts w:ascii="Arial" w:cs="Arial" w:eastAsia="Arial" w:hAnsi="Arial"/>
          <w:sz w:val="18"/>
          <w:szCs w:val="18"/>
          <w:color w:val="auto"/>
        </w:rPr>
        <w:t>.</w:t>
      </w:r>
    </w:p>
    <w:p>
      <w:pPr>
        <w:spacing w:after="0" w:line="283" w:lineRule="exact"/>
        <w:rPr>
          <w:sz w:val="20"/>
          <w:szCs w:val="20"/>
          <w:color w:val="auto"/>
        </w:rPr>
      </w:pPr>
    </w:p>
    <w:p>
      <w:pPr>
        <w:ind w:left="-656" w:right="220" w:firstLine="656"/>
        <w:spacing w:after="0" w:line="277" w:lineRule="auto"/>
        <w:tabs>
          <w:tab w:leader="none" w:pos="642"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Each party shall comply with all applicable laws in carrying out its obligations under this Agreement. Unless otherwise specified herein, each party shall bear all costs incurred by it in entering into this Agreement and carrying out its obligations hereunder.</w:t>
      </w:r>
    </w:p>
    <w:p>
      <w:pPr>
        <w:spacing w:after="0" w:line="224" w:lineRule="exact"/>
        <w:rPr>
          <w:rFonts w:ascii="Arial" w:cs="Arial" w:eastAsia="Arial" w:hAnsi="Arial"/>
          <w:sz w:val="18"/>
          <w:szCs w:val="18"/>
          <w:color w:val="auto"/>
        </w:rPr>
      </w:pPr>
    </w:p>
    <w:p>
      <w:pPr>
        <w:ind w:left="-656" w:right="120" w:firstLine="656"/>
        <w:spacing w:after="0" w:line="264" w:lineRule="auto"/>
        <w:tabs>
          <w:tab w:leader="none" w:pos="607"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Nothing contained in this Agreement shall constitute or be construed to create a partnership, joint venture or agency relationship between the parties. As a result, except as specifically provided herein, neither party shall have the right or authority to incur expenses or enter into any agreement in the name of the other party.</w:t>
      </w:r>
    </w:p>
    <w:p>
      <w:pPr>
        <w:spacing w:after="0" w:line="235" w:lineRule="exact"/>
        <w:rPr>
          <w:rFonts w:ascii="Arial" w:cs="Arial" w:eastAsia="Arial" w:hAnsi="Arial"/>
          <w:sz w:val="18"/>
          <w:szCs w:val="18"/>
          <w:color w:val="auto"/>
        </w:rPr>
      </w:pPr>
    </w:p>
    <w:p>
      <w:pPr>
        <w:ind w:left="-656" w:firstLine="656"/>
        <w:spacing w:after="0" w:line="267" w:lineRule="auto"/>
        <w:tabs>
          <w:tab w:leader="none" w:pos="642" w:val="left"/>
        </w:tabs>
        <w:numPr>
          <w:ilvl w:val="0"/>
          <w:numId w:val="20"/>
        </w:numPr>
        <w:rPr>
          <w:rFonts w:ascii="Arial" w:cs="Arial" w:eastAsia="Arial" w:hAnsi="Arial"/>
          <w:sz w:val="17"/>
          <w:szCs w:val="17"/>
          <w:color w:val="auto"/>
        </w:rPr>
      </w:pPr>
      <w:r>
        <w:rPr>
          <w:rFonts w:ascii="Arial" w:cs="Arial" w:eastAsia="Arial" w:hAnsi="Arial"/>
          <w:sz w:val="17"/>
          <w:szCs w:val="17"/>
          <w:color w:val="auto"/>
        </w:rPr>
        <w:t>Each party and their respective officers, owners, agents, representatives, affiliates and employees (collectively, the “Affiliates”) understand that each of them is prepared to furnish the other with certain confidential or proprietary written and oral information in connection with their performance under this Agreement. Such confidential or proprietary information, together with all data, reports, notes, summaries and analyses derived therefrom by the receiving party (the “Recipient”) and/or its Affiliates is referred to herein as the “Confidential Information.” The term “Confidential Information” does not include information which (i) is or becomes available to the public other than as a result of a disclosure by the Recipient or its Affiliates, (ii) was available to the Recipient on a non-confidential basis prior to its disclosure to the Recipient by the disclosing party (the “Disclosing Party”) or its representatives or (iii) becomes available to the Recipient on a non-confidential basis from a source other than the Disclosing Party or its representatives. Each party agrees that all Confidential Information will be held by them and their Affiliates in confidence and will not, without the prior written consent of the Disclosing Party, be disclosed by the Recipient or its Affiliates in any manner whatsoever, in whole or in part, and will not be used by the Recipient or its Affiliates other than in connection their performance under this Agreement. The parties further agree (i) to disclose the Confidential Information only to those Affiliates who need to know the Confidential Information and who will be advised of this Agreement and (ii) that their Affiliates will act in accordance herewith. No Confidential Information will be supplied by the Recipient to any other person unless such person either agrees in writing to be bound by the terms of this paragraph to the same extent as if a party hereto or enters into other arrangements satisfactory to the Disclosing Party. The term “person” as used in this Agreement shall be broadly interpreted to include, without limitation, any entity or individual. All written Confidential Information supplied to the Recipient and/or its Affiliates by the Disclosing Party or the Disclosing Party’s agents, and all copies thereof and extracts therefrom in the possession of the Recipient or its Affiliates will be returned to the Disclosing Party or destroyed (at the Disclosing Party’s option) promptly upon request by the Disclosing Party. Upon request by the Disclosing Party, the Recipient will also destroy that portion of the Confidential Information which has been produced by the Recipient or its Affiliates on the basis of Confidential Information provided by the Disclosing Party. To the extent any written Confidential Information is not returned or destroyed, such written Confidential Information, and any oral Confidential Information, will be held by the Recipient and its Affiliates at all times subject to the terms of this paragraph.</w:t>
      </w:r>
    </w:p>
    <w:p>
      <w:pPr>
        <w:spacing w:after="0" w:line="242" w:lineRule="exact"/>
        <w:rPr>
          <w:rFonts w:ascii="Arial" w:cs="Arial" w:eastAsia="Arial" w:hAnsi="Arial"/>
          <w:sz w:val="17"/>
          <w:szCs w:val="17"/>
          <w:color w:val="auto"/>
        </w:rPr>
      </w:pPr>
    </w:p>
    <w:p>
      <w:pPr>
        <w:jc w:val="both"/>
        <w:ind w:left="-656" w:right="20" w:firstLine="656"/>
        <w:spacing w:after="0" w:line="264" w:lineRule="auto"/>
        <w:tabs>
          <w:tab w:leader="none" w:pos="60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Agreement shall be governed by and interpreted in accordance with the laws of the State of California as applied to agreements entered into and to be performed entirely within California between California residents without regard to the principles of conflict of laws. Service of process in any civil action relating to or arising out of this Agreement may be accomplished in any manner provided by law.</w:t>
      </w:r>
    </w:p>
    <w:p>
      <w:pPr>
        <w:spacing w:after="0" w:line="235" w:lineRule="exact"/>
        <w:rPr>
          <w:rFonts w:ascii="Arial" w:cs="Arial" w:eastAsia="Arial" w:hAnsi="Arial"/>
          <w:sz w:val="18"/>
          <w:szCs w:val="18"/>
          <w:color w:val="auto"/>
        </w:rPr>
      </w:pPr>
    </w:p>
    <w:p>
      <w:pPr>
        <w:ind w:left="-656" w:right="260" w:firstLine="656"/>
        <w:spacing w:after="0" w:line="277" w:lineRule="auto"/>
        <w:tabs>
          <w:tab w:leader="none" w:pos="5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This Agreement may be executed in two or more identical counterparts, all of which shall be considered one and the same agreement and shall become effective when counterparts have been signed by each party.</w:t>
      </w:r>
    </w:p>
    <w:p>
      <w:pPr>
        <w:spacing w:after="0" w:line="224" w:lineRule="exact"/>
        <w:rPr>
          <w:rFonts w:ascii="Arial" w:cs="Arial" w:eastAsia="Arial" w:hAnsi="Arial"/>
          <w:sz w:val="18"/>
          <w:szCs w:val="18"/>
          <w:color w:val="auto"/>
        </w:rPr>
      </w:pPr>
    </w:p>
    <w:p>
      <w:pPr>
        <w:ind w:left="-656" w:right="40" w:firstLine="656"/>
        <w:spacing w:after="0" w:line="264" w:lineRule="auto"/>
        <w:tabs>
          <w:tab w:leader="none" w:pos="622"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570230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4"/>
          </w:cols>
          <w:pgMar w:left="896" w:top="517" w:right="259" w:bottom="1440" w:gutter="0" w:footer="0" w:header="0"/>
        </w:sectPr>
      </w:pPr>
    </w:p>
    <w:bookmarkStart w:id="28" w:name="page29"/>
    <w:bookmarkEnd w:id="28"/>
    <w:p>
      <w:pPr>
        <w:ind w:firstLine="656"/>
        <w:spacing w:after="0" w:line="255"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Agreement contains the entire understanding of the parties with respect to the matters covered herein and supercedes all prior agreements, negotiations and understandings, written or oral, with respect to such subject matter. Except as specifically set forth herein, neither party makes any representation, warranty, covenant or undertaking with respect to such matters. No provision of this Agreement shall be waived or amended other than by an instrument in writing signed by the party to be charged with enforcement. No delay or omission of any party hereto in exercising any right or remedy hereunder shall constitute a waiver of such right or remedy, and no waiver as to any obligation shall operate as a continuing waiver or as a waiver of any subsequent breach.</w:t>
      </w:r>
    </w:p>
    <w:p>
      <w:pPr>
        <w:spacing w:after="0" w:line="247" w:lineRule="exact"/>
        <w:rPr>
          <w:rFonts w:ascii="Arial" w:cs="Arial" w:eastAsia="Arial" w:hAnsi="Arial"/>
          <w:sz w:val="18"/>
          <w:szCs w:val="18"/>
          <w:color w:val="auto"/>
        </w:rPr>
      </w:pPr>
    </w:p>
    <w:p>
      <w:pPr>
        <w:jc w:val="both"/>
        <w:ind w:right="240" w:firstLine="656"/>
        <w:spacing w:after="0" w:line="257" w:lineRule="auto"/>
        <w:tabs>
          <w:tab w:leader="none" w:pos="125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notices required or permitted to be given under the terms of this Agreement shall be in writing and sent by U. S. Mail or delivered personally or by overnight courier or via facsimile (if via facsimile, to be followed within one (1) business day by an original of the notice document via overnight courier) and shall be effective (i) five (5) days after being placed in the mail, if mailed, certified or registered, return receipt requested, (ii) upon receipt, if delivered personally or (iii) one (1) day after facsimile transmission or delivery to a courier service for overnight delivery, in each case properly addressed to the party to receive the same.</w:t>
      </w:r>
    </w:p>
    <w:p>
      <w:pPr>
        <w:spacing w:after="0" w:line="242" w:lineRule="exact"/>
        <w:rPr>
          <w:rFonts w:ascii="Arial" w:cs="Arial" w:eastAsia="Arial" w:hAnsi="Arial"/>
          <w:sz w:val="18"/>
          <w:szCs w:val="18"/>
          <w:color w:val="auto"/>
        </w:rPr>
      </w:pPr>
    </w:p>
    <w:p>
      <w:pPr>
        <w:ind w:right="160" w:firstLine="656"/>
        <w:spacing w:after="0" w:line="264" w:lineRule="auto"/>
        <w:tabs>
          <w:tab w:leader="none" w:pos="126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Agreement shall be binding upon and inure to the benefit of the parties and their respective successors and permitted assigns. Neither party shall assign this Agreement or any rights or obligations hereunder without the prior written consent of the other party (which consent shall not be unreasonably withheld).</w:t>
      </w:r>
    </w:p>
    <w:p>
      <w:pPr>
        <w:spacing w:after="0" w:line="235" w:lineRule="exact"/>
        <w:rPr>
          <w:rFonts w:ascii="Arial" w:cs="Arial" w:eastAsia="Arial" w:hAnsi="Arial"/>
          <w:sz w:val="18"/>
          <w:szCs w:val="18"/>
          <w:color w:val="auto"/>
        </w:rPr>
      </w:pPr>
    </w:p>
    <w:p>
      <w:pPr>
        <w:ind w:right="220" w:firstLine="656"/>
        <w:spacing w:after="0" w:line="286" w:lineRule="auto"/>
        <w:tabs>
          <w:tab w:leader="none" w:pos="1268" w:val="left"/>
        </w:tabs>
        <w:numPr>
          <w:ilvl w:val="0"/>
          <w:numId w:val="21"/>
        </w:numPr>
        <w:rPr>
          <w:rFonts w:ascii="Arial" w:cs="Arial" w:eastAsia="Arial" w:hAnsi="Arial"/>
          <w:sz w:val="17"/>
          <w:szCs w:val="17"/>
          <w:color w:val="auto"/>
        </w:rPr>
      </w:pPr>
      <w:r>
        <w:rPr>
          <w:rFonts w:ascii="Arial" w:cs="Arial" w:eastAsia="Arial" w:hAnsi="Arial"/>
          <w:sz w:val="17"/>
          <w:szCs w:val="17"/>
          <w:color w:val="auto"/>
        </w:rPr>
        <w:t>Each party shall do and perform, or cause to be done and performed, at its expense, all such further acts and things, and shall execute and deliver all such other agreements, certificates, instruments and documents, as the other parties may reasonably request in order to carry out the intent and accomplish the purposes of this Agreement and the consummation of the transactions contemplated hereby.</w:t>
      </w:r>
    </w:p>
    <w:p>
      <w:pPr>
        <w:spacing w:after="0" w:line="219" w:lineRule="exact"/>
        <w:rPr>
          <w:rFonts w:ascii="Arial" w:cs="Arial" w:eastAsia="Arial" w:hAnsi="Arial"/>
          <w:sz w:val="17"/>
          <w:szCs w:val="17"/>
          <w:color w:val="auto"/>
        </w:rPr>
      </w:pPr>
    </w:p>
    <w:p>
      <w:pPr>
        <w:jc w:val="both"/>
        <w:ind w:right="20" w:firstLine="656"/>
        <w:spacing w:after="0" w:line="259" w:lineRule="auto"/>
        <w:tabs>
          <w:tab w:leader="none" w:pos="12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provision of this Agreement providing for any specific remedy to a party shall be construed to limit such party to the specific remedy described, and any other remedy that would otherwise be available to such party at law or in equity shall also be available. The parties also intend that the rights and remedies hereunder be cumulative, so that exercise of any one or more of such rights or remedies shall not preclude the later or concurrent exercise of any other rights or remedies.</w:t>
      </w: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parties have caused this Agreement to be duly executed by their respective authorized persons as of the Effective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3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TERRACE LANE,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100330</wp:posOffset>
            </wp:positionV>
            <wp:extent cx="22466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4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100330</wp:posOffset>
            </wp:positionV>
            <wp:extent cx="22466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CROFF ENTERPRISES,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100330</wp:posOffset>
            </wp:positionV>
            <wp:extent cx="22466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4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100330</wp:posOffset>
            </wp:positionV>
            <wp:extent cx="22466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17"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EXHIBIT 14</w:t>
      </w: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CODE OF ETHICS AND BUSINESS CONDUCT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CROFF ENTERPRISES, INC.</w:t>
      </w:r>
    </w:p>
    <w:p>
      <w:pPr>
        <w:spacing w:after="0" w:line="2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has adopted this Code of Ethics and Business Conduct, applicable to the Company’s principal executive officer, principal accounting officer and/or controller, principal financial officer, and any persons performing similar functions.</w:t>
      </w:r>
    </w:p>
    <w:p>
      <w:pPr>
        <w:spacing w:after="0" w:line="224" w:lineRule="exact"/>
        <w:rPr>
          <w:sz w:val="20"/>
          <w:szCs w:val="20"/>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shall at all times comply with all applicable governmental laws, rules and regulations.</w:t>
      </w:r>
    </w:p>
    <w:p>
      <w:pPr>
        <w:spacing w:after="0" w:line="279" w:lineRule="exact"/>
        <w:rPr>
          <w:rFonts w:ascii="Arial" w:cs="Arial" w:eastAsia="Arial" w:hAnsi="Arial"/>
          <w:sz w:val="18"/>
          <w:szCs w:val="18"/>
          <w:color w:val="auto"/>
        </w:rPr>
      </w:pPr>
    </w:p>
    <w:p>
      <w:pPr>
        <w:ind w:right="380" w:firstLine="8"/>
        <w:spacing w:after="0" w:line="277" w:lineRule="auto"/>
        <w:tabs>
          <w:tab w:leader="none" w:pos="199"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shall provide full, fair, accurate, timely, and understandable disclosure in reports and documents that we file with, or submit to, the Securities and Exchange Commission and in other public communications.</w:t>
      </w:r>
    </w:p>
    <w:p>
      <w:pPr>
        <w:spacing w:after="0" w:line="224" w:lineRule="exact"/>
        <w:rPr>
          <w:rFonts w:ascii="Arial" w:cs="Arial" w:eastAsia="Arial" w:hAnsi="Arial"/>
          <w:sz w:val="18"/>
          <w:szCs w:val="18"/>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shall conduct ourselves and our business in an honest and ethical manner.</w:t>
      </w:r>
    </w:p>
    <w:p>
      <w:pPr>
        <w:spacing w:after="0" w:line="279" w:lineRule="exact"/>
        <w:rPr>
          <w:rFonts w:ascii="Arial" w:cs="Arial" w:eastAsia="Arial" w:hAnsi="Arial"/>
          <w:sz w:val="18"/>
          <w:szCs w:val="18"/>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reject bribery in all its forms.</w:t>
      </w:r>
    </w:p>
    <w:p>
      <w:pPr>
        <w:spacing w:after="0" w:line="279" w:lineRule="exact"/>
        <w:rPr>
          <w:rFonts w:ascii="Arial" w:cs="Arial" w:eastAsia="Arial" w:hAnsi="Arial"/>
          <w:sz w:val="18"/>
          <w:szCs w:val="18"/>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shall provide sufficient information to enable customers and others to make their own informed decisions.</w:t>
      </w:r>
    </w:p>
    <w:p>
      <w:pPr>
        <w:spacing w:after="0" w:line="279" w:lineRule="exact"/>
        <w:rPr>
          <w:rFonts w:ascii="Arial" w:cs="Arial" w:eastAsia="Arial" w:hAnsi="Arial"/>
          <w:sz w:val="18"/>
          <w:szCs w:val="18"/>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shall not advertise in a false or misleading manner.</w:t>
      </w:r>
    </w:p>
    <w:p>
      <w:pPr>
        <w:spacing w:after="0" w:line="279" w:lineRule="exact"/>
        <w:rPr>
          <w:rFonts w:ascii="Arial" w:cs="Arial" w:eastAsia="Arial" w:hAnsi="Arial"/>
          <w:sz w:val="18"/>
          <w:szCs w:val="18"/>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shall respect all requests for confidentiality of information.</w:t>
      </w:r>
    </w:p>
    <w:p>
      <w:pPr>
        <w:spacing w:after="0" w:line="279" w:lineRule="exact"/>
        <w:rPr>
          <w:rFonts w:ascii="Arial" w:cs="Arial" w:eastAsia="Arial" w:hAnsi="Arial"/>
          <w:sz w:val="18"/>
          <w:szCs w:val="18"/>
          <w:color w:val="auto"/>
        </w:rPr>
      </w:pPr>
    </w:p>
    <w:p>
      <w:pPr>
        <w:ind w:firstLine="8"/>
        <w:spacing w:after="0" w:line="342" w:lineRule="auto"/>
        <w:tabs>
          <w:tab w:leader="none" w:pos="199"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shall be alert to situations that might cause a conflict of interest or have the appearance of a conflict and shall provide full disclosure when an actual or apparent conflict of interest arises and shall ethically handle any actual or apparent conflict of interest between personal and professional relationships.</w:t>
      </w:r>
    </w:p>
    <w:p>
      <w:pPr>
        <w:spacing w:after="0" w:line="177" w:lineRule="exact"/>
        <w:rPr>
          <w:rFonts w:ascii="Arial" w:cs="Arial" w:eastAsia="Arial" w:hAnsi="Arial"/>
          <w:sz w:val="16"/>
          <w:szCs w:val="16"/>
          <w:color w:val="auto"/>
        </w:rPr>
      </w:pP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shall promptly report any violation of this Code that we become aware of to the Board of Directors of the Company.</w:t>
      </w:r>
    </w:p>
    <w:p>
      <w:pPr>
        <w:sectPr>
          <w:pgSz w:w="11900" w:h="16838" w:orient="portrait"/>
          <w:cols w:equalWidth="0" w:num="1">
            <w:col w:w="11320"/>
          </w:cols>
          <w:pgMar w:left="24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EXHIBIT 31</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Gregory R. Woodhill, certify that:</w:t>
      </w:r>
    </w:p>
    <w:p>
      <w:pPr>
        <w:spacing w:after="0" w:line="279" w:lineRule="exact"/>
        <w:rPr>
          <w:sz w:val="20"/>
          <w:szCs w:val="20"/>
          <w:color w:val="auto"/>
        </w:rPr>
      </w:pPr>
    </w:p>
    <w:p>
      <w:pPr>
        <w:ind w:left="1100" w:hanging="444"/>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10-K of Croff Enterprises, Inc. (the “Company”);</w:t>
      </w:r>
    </w:p>
    <w:p>
      <w:pPr>
        <w:spacing w:after="0" w:line="279" w:lineRule="exact"/>
        <w:rPr>
          <w:rFonts w:ascii="Arial" w:cs="Arial" w:eastAsia="Arial" w:hAnsi="Arial"/>
          <w:sz w:val="18"/>
          <w:szCs w:val="18"/>
          <w:color w:val="auto"/>
        </w:rPr>
      </w:pPr>
    </w:p>
    <w:p>
      <w:pPr>
        <w:ind w:right="80" w:firstLine="656"/>
        <w:spacing w:after="0" w:line="342" w:lineRule="auto"/>
        <w:tabs>
          <w:tab w:leader="none" w:pos="1098"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60" w:firstLine="656"/>
        <w:spacing w:after="0" w:line="308" w:lineRule="auto"/>
        <w:tabs>
          <w:tab w:leader="none" w:pos="1098"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00" w:lineRule="exact"/>
        <w:rPr>
          <w:rFonts w:ascii="Arial" w:cs="Arial" w:eastAsia="Arial" w:hAnsi="Arial"/>
          <w:sz w:val="17"/>
          <w:szCs w:val="17"/>
          <w:color w:val="auto"/>
        </w:rPr>
      </w:pPr>
    </w:p>
    <w:p>
      <w:pPr>
        <w:ind w:right="60" w:firstLine="656"/>
        <w:spacing w:after="0" w:line="264" w:lineRule="auto"/>
        <w:tabs>
          <w:tab w:leader="none" w:pos="10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35" w:lineRule="exact"/>
        <w:rPr>
          <w:sz w:val="20"/>
          <w:szCs w:val="20"/>
          <w:color w:val="auto"/>
        </w:rPr>
      </w:pPr>
    </w:p>
    <w:p>
      <w:pPr>
        <w:ind w:right="100" w:firstLine="656"/>
        <w:spacing w:after="0" w:line="264" w:lineRule="auto"/>
        <w:tabs>
          <w:tab w:leader="none" w:pos="11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firstLine="656"/>
        <w:spacing w:after="0" w:line="264" w:lineRule="auto"/>
        <w:tabs>
          <w:tab w:leader="none" w:pos="11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the designed under our supervision, to provide reasonable assurance regarding the reliability of financial reporting and the preparation of financial statements for external purposes in accordance with generally accepted accounting principals;</w:t>
      </w:r>
    </w:p>
    <w:p>
      <w:pPr>
        <w:spacing w:after="0" w:line="235" w:lineRule="exact"/>
        <w:rPr>
          <w:rFonts w:ascii="Arial" w:cs="Arial" w:eastAsia="Arial" w:hAnsi="Arial"/>
          <w:sz w:val="18"/>
          <w:szCs w:val="18"/>
          <w:color w:val="auto"/>
        </w:rPr>
      </w:pPr>
    </w:p>
    <w:p>
      <w:pPr>
        <w:ind w:right="640" w:firstLine="656"/>
        <w:spacing w:after="0" w:line="342" w:lineRule="auto"/>
        <w:tabs>
          <w:tab w:leader="none" w:pos="1073" w:val="left"/>
        </w:tabs>
        <w:numPr>
          <w:ilvl w:val="0"/>
          <w:numId w:val="24"/>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6"/>
          <w:szCs w:val="16"/>
          <w:color w:val="auto"/>
        </w:rPr>
      </w:pPr>
    </w:p>
    <w:p>
      <w:pPr>
        <w:jc w:val="both"/>
        <w:ind w:right="80" w:firstLine="656"/>
        <w:spacing w:after="0" w:line="264" w:lineRule="auto"/>
        <w:tabs>
          <w:tab w:leader="none" w:pos="11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Company's fourth fiscal quarter in the case of an annual report) that has materially affected, or is reasonably likely to materially affect, the Company's internal control over financial reporting; and</w:t>
      </w:r>
    </w:p>
    <w:p>
      <w:pPr>
        <w:spacing w:after="0" w:line="235" w:lineRule="exact"/>
        <w:rPr>
          <w:sz w:val="20"/>
          <w:szCs w:val="20"/>
          <w:color w:val="auto"/>
        </w:rPr>
      </w:pPr>
    </w:p>
    <w:p>
      <w:pPr>
        <w:ind w:right="100" w:firstLine="656"/>
        <w:spacing w:after="0" w:line="308" w:lineRule="auto"/>
        <w:tabs>
          <w:tab w:leader="none" w:pos="1095"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201" w:lineRule="exact"/>
        <w:rPr>
          <w:sz w:val="20"/>
          <w:szCs w:val="20"/>
          <w:color w:val="auto"/>
        </w:rPr>
      </w:pPr>
    </w:p>
    <w:p>
      <w:pPr>
        <w:ind w:right="20" w:firstLine="656"/>
        <w:spacing w:after="0" w:line="277" w:lineRule="auto"/>
        <w:tabs>
          <w:tab w:leader="none" w:pos="111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224" w:lineRule="exact"/>
        <w:rPr>
          <w:rFonts w:ascii="Arial" w:cs="Arial" w:eastAsia="Arial" w:hAnsi="Arial"/>
          <w:sz w:val="18"/>
          <w:szCs w:val="18"/>
          <w:color w:val="auto"/>
        </w:rPr>
      </w:pPr>
    </w:p>
    <w:p>
      <w:pPr>
        <w:ind w:right="520" w:firstLine="656"/>
        <w:spacing w:after="0" w:line="277" w:lineRule="auto"/>
        <w:tabs>
          <w:tab w:leader="none" w:pos="11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20"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Dated: March 18, 2009</w:t>
      </w:r>
      <w:r>
        <w:rPr>
          <w:sz w:val="20"/>
          <w:szCs w:val="20"/>
          <w:color w:val="auto"/>
        </w:rPr>
        <w:tab/>
      </w:r>
      <w:r>
        <w:rPr>
          <w:rFonts w:ascii="Arial" w:cs="Arial" w:eastAsia="Arial" w:hAnsi="Arial"/>
          <w:sz w:val="18"/>
          <w:szCs w:val="18"/>
          <w:b w:val="1"/>
          <w:bCs w:val="1"/>
          <w:color w:val="auto"/>
        </w:rPr>
        <w:t>/s/ GREGORY R. WOODHILL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85725</wp:posOffset>
            </wp:positionV>
            <wp:extent cx="18351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Gregory R. Woodhill, President and</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00"/>
          </w:cols>
          <w:pgMar w:left="240" w:top="121"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EXHIBIT 32</w:t>
      </w:r>
    </w:p>
    <w:p>
      <w:pPr>
        <w:spacing w:after="0" w:line="28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CERTIFICATE OF CROFF ENTERPRISES, INC.</w:t>
      </w:r>
    </w:p>
    <w:p>
      <w:pPr>
        <w:spacing w:after="0" w:line="2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CHIEF EXECUTIVE OFFICER AND CHIEF FINANCIAL OFFICER</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PURSUANT TO SECTION 1350</w:t>
      </w:r>
    </w:p>
    <w:p>
      <w:pPr>
        <w:spacing w:after="0" w:line="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OF CHAPTER 63 OF TITLE 18 OF THE UNITED STATES CODE</w:t>
      </w:r>
    </w:p>
    <w:p>
      <w:pPr>
        <w:spacing w:after="0" w:line="26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 Gregory R. Woodhill, the Chief Executive Officer and Chief Financial Officer of Croff Enterprises, Inc. (the “Company”), do hereby certify, pursuant to 18 U.S.C. 1350 that, to my knowledge:</w:t>
      </w:r>
    </w:p>
    <w:p>
      <w:pPr>
        <w:spacing w:after="0" w:line="224" w:lineRule="exact"/>
        <w:rPr>
          <w:sz w:val="20"/>
          <w:szCs w:val="20"/>
          <w:color w:val="auto"/>
        </w:rPr>
      </w:pPr>
    </w:p>
    <w:p>
      <w:pPr>
        <w:ind w:firstLine="656"/>
        <w:spacing w:after="0" w:line="308" w:lineRule="auto"/>
        <w:tabs>
          <w:tab w:leader="none" w:pos="1128"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Annual Report on Form 10-K of the Company for the fiscal year ended December 31, 2008, as filed with the Securities and Exchange Commission (the “Report”), fully complies with the requirements of Section 13(a) or 15(d) of the Securities Exchange Act of 1934; and</w:t>
      </w:r>
    </w:p>
    <w:p>
      <w:pPr>
        <w:spacing w:after="0" w:line="200" w:lineRule="exact"/>
        <w:rPr>
          <w:rFonts w:ascii="Arial" w:cs="Arial" w:eastAsia="Arial" w:hAnsi="Arial"/>
          <w:sz w:val="17"/>
          <w:szCs w:val="17"/>
          <w:color w:val="auto"/>
        </w:rPr>
      </w:pPr>
    </w:p>
    <w:p>
      <w:pPr>
        <w:ind w:left="1140" w:hanging="484"/>
        <w:spacing w:after="0"/>
        <w:tabs>
          <w:tab w:leader="none" w:pos="11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61" w:lineRule="exact"/>
        <w:rPr>
          <w:sz w:val="20"/>
          <w:szCs w:val="20"/>
          <w:color w:val="auto"/>
        </w:rPr>
      </w:pPr>
    </w:p>
    <w:p>
      <w:pPr>
        <w:spacing w:after="0"/>
        <w:tabs>
          <w:tab w:leader="none" w:pos="5680" w:val="left"/>
        </w:tabs>
        <w:rPr>
          <w:sz w:val="20"/>
          <w:szCs w:val="20"/>
          <w:color w:val="auto"/>
        </w:rPr>
      </w:pPr>
      <w:r>
        <w:rPr>
          <w:rFonts w:ascii="Arial" w:cs="Arial" w:eastAsia="Arial" w:hAnsi="Arial"/>
          <w:sz w:val="18"/>
          <w:szCs w:val="18"/>
          <w:color w:val="auto"/>
        </w:rPr>
        <w:t>Dated: March 18, 2009</w:t>
      </w:r>
      <w:r>
        <w:rPr>
          <w:sz w:val="20"/>
          <w:szCs w:val="20"/>
          <w:color w:val="auto"/>
        </w:rPr>
        <w:tab/>
      </w:r>
      <w:r>
        <w:rPr>
          <w:rFonts w:ascii="Arial" w:cs="Arial" w:eastAsia="Arial" w:hAnsi="Arial"/>
          <w:sz w:val="18"/>
          <w:szCs w:val="18"/>
          <w:b w:val="1"/>
          <w:bCs w:val="1"/>
          <w:color w:val="auto"/>
        </w:rPr>
        <w:t>/s/ GREGORY R. WOODHILL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85725</wp:posOffset>
            </wp:positionV>
            <wp:extent cx="18351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35150" cy="8890"/>
                    </a:xfrm>
                    <a:prstGeom prst="rect">
                      <a:avLst/>
                    </a:prstGeom>
                    <a:noFill/>
                  </pic:spPr>
                </pic:pic>
              </a:graphicData>
            </a:graphic>
          </wp:anchor>
        </w:drawing>
      </w:r>
    </w:p>
    <w:p>
      <w:pPr>
        <w:spacing w:after="0" w:line="2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Gregory R. Woodhill, President and</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040"/>
      </w:cols>
      <w:pgMar w:left="240" w:top="121"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1)"/>
      <w:numFmt w:val="lowerRoman"/>
      <w:start w:val="6"/>
    </w:lvl>
  </w:abstractNum>
  <w:abstractNum w:abstractNumId="1">
    <w:nsid w:val="7FDCC233"/>
    <w:multiLevelType w:val="hybridMultilevel"/>
    <w:lvl w:ilvl="0">
      <w:lvlJc w:val="left"/>
      <w:lvlText w:val="(%1)"/>
      <w:numFmt w:val="decimal"/>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lowerLetter"/>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2"/>
    </w:lvl>
  </w:abstractNum>
  <w:abstractNum w:abstractNumId="6">
    <w:nsid w:val="25E45D32"/>
    <w:multiLevelType w:val="hybridMultilevel"/>
    <w:lvl w:ilvl="0">
      <w:lvlJc w:val="left"/>
      <w:lvlText w:val="%1."/>
      <w:numFmt w:val="decimal"/>
      <w:start w:val="4"/>
    </w:lvl>
  </w:abstractNum>
  <w:abstractNum w:abstractNumId="7">
    <w:nsid w:val="519B500D"/>
    <w:multiLevelType w:val="hybridMultilevel"/>
    <w:lvl w:ilvl="0">
      <w:lvlJc w:val="left"/>
      <w:lvlText w:val="%1."/>
      <w:numFmt w:val="decimal"/>
      <w:start w:val="5"/>
    </w:lvl>
  </w:abstractNum>
  <w:abstractNum w:abstractNumId="8">
    <w:nsid w:val="431BD7B7"/>
    <w:multiLevelType w:val="hybridMultilevel"/>
    <w:lvl w:ilvl="0">
      <w:lvlJc w:val="left"/>
      <w:lvlText w:val="%1."/>
      <w:numFmt w:val="decimal"/>
      <w:start w:val="6"/>
    </w:lvl>
  </w:abstractNum>
  <w:abstractNum w:abstractNumId="9">
    <w:nsid w:val="3F2DBA31"/>
    <w:multiLevelType w:val="hybridMultilevel"/>
    <w:lvl w:ilvl="0">
      <w:lvlJc w:val="left"/>
      <w:lvlText w:val="%1."/>
      <w:numFmt w:val="decimal"/>
      <w:start w:val="7"/>
    </w:lvl>
  </w:abstractNum>
  <w:abstractNum w:abstractNumId="10">
    <w:nsid w:val="7C83E458"/>
    <w:multiLevelType w:val="hybridMultilevel"/>
    <w:lvl w:ilvl="0">
      <w:lvlJc w:val="left"/>
      <w:lvlText w:val="%1."/>
      <w:numFmt w:val="upperLetter"/>
      <w:start w:val="1"/>
    </w:lvl>
  </w:abstractNum>
  <w:abstractNum w:abstractNumId="11">
    <w:nsid w:val="257130A3"/>
    <w:multiLevelType w:val="hybridMultilevel"/>
    <w:lvl w:ilvl="0">
      <w:lvlJc w:val="left"/>
      <w:lvlText w:val="%1."/>
      <w:numFmt w:val="decimal"/>
      <w:start w:val="1"/>
    </w:lvl>
  </w:abstractNum>
  <w:abstractNum w:abstractNumId="12">
    <w:nsid w:val="62BBD95A"/>
    <w:multiLevelType w:val="hybridMultilevel"/>
    <w:lvl w:ilvl="0">
      <w:lvlJc w:val="left"/>
      <w:lvlText w:val="%1"/>
      <w:numFmt w:val="lowerLetter"/>
      <w:start w:val="1"/>
    </w:lvl>
    <w:lvl w:ilvl="1">
      <w:lvlJc w:val="left"/>
      <w:lvlText w:val="(%2)"/>
      <w:numFmt w:val="lowerLetter"/>
      <w:start w:val="1"/>
    </w:lvl>
  </w:abstractNum>
  <w:abstractNum w:abstractNumId="13">
    <w:nsid w:val="436C6125"/>
    <w:multiLevelType w:val="hybridMultilevel"/>
    <w:lvl w:ilvl="0">
      <w:lvlJc w:val="left"/>
      <w:lvlText w:val="(%1)"/>
      <w:numFmt w:val="lowerLetter"/>
      <w:start w:val="35"/>
    </w:lvl>
    <w:lvl w:ilvl="1">
      <w:lvlJc w:val="left"/>
      <w:lvlText w:val="%2"/>
      <w:numFmt w:val="lowerLetter"/>
      <w:start w:val="1"/>
    </w:lvl>
  </w:abstractNum>
  <w:abstractNum w:abstractNumId="14">
    <w:nsid w:val="628C895D"/>
    <w:multiLevelType w:val="hybridMultilevel"/>
    <w:lvl w:ilvl="0">
      <w:lvlJc w:val="left"/>
      <w:lvlText w:val="%1."/>
      <w:numFmt w:val="decimal"/>
      <w:start w:val="4"/>
    </w:lvl>
  </w:abstractNum>
  <w:abstractNum w:abstractNumId="15">
    <w:nsid w:val="333AB105"/>
    <w:multiLevelType w:val="hybridMultilevel"/>
    <w:lvl w:ilvl="0">
      <w:lvlJc w:val="left"/>
      <w:lvlText w:val="(%1)"/>
      <w:numFmt w:val="lowerLetter"/>
      <w:start w:val="1"/>
    </w:lvl>
  </w:abstractNum>
  <w:abstractNum w:abstractNumId="16">
    <w:nsid w:val="721DA317"/>
    <w:multiLevelType w:val="hybridMultilevel"/>
    <w:lvl w:ilvl="0">
      <w:lvlJc w:val="left"/>
      <w:lvlText w:val="(%1)"/>
      <w:numFmt w:val="lowerLetter"/>
      <w:start w:val="3"/>
    </w:lvl>
  </w:abstractNum>
  <w:abstractNum w:abstractNumId="17">
    <w:nsid w:val="2443A858"/>
    <w:multiLevelType w:val="hybridMultilevel"/>
    <w:lvl w:ilvl="0">
      <w:lvlJc w:val="left"/>
      <w:lvlText w:val="(%1)"/>
      <w:numFmt w:val="lowerLetter"/>
      <w:start w:val="4"/>
    </w:lvl>
  </w:abstractNum>
  <w:abstractNum w:abstractNumId="18">
    <w:nsid w:val="2D1D5AE9"/>
    <w:multiLevelType w:val="hybridMultilevel"/>
    <w:lvl w:ilvl="0">
      <w:lvlJc w:val="left"/>
      <w:lvlText w:val="%1."/>
      <w:numFmt w:val="decimal"/>
      <w:start w:val="5"/>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7"/>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lowerLetter"/>
      <w:start w:val="1"/>
    </w:lvl>
  </w:abstractNum>
  <w:abstractNum w:abstractNumId="24">
    <w:nsid w:val="B03E0C6"/>
    <w:multiLevelType w:val="hybridMultilevel"/>
    <w:lvl w:ilvl="0">
      <w:lvlJc w:val="left"/>
      <w:lvlText w:val="%1."/>
      <w:numFmt w:val="decimal"/>
      <w:start w:val="5"/>
    </w:lvl>
  </w:abstractNum>
  <w:abstractNum w:abstractNumId="25">
    <w:nsid w:val="189A769B"/>
    <w:multiLevelType w:val="hybridMultilevel"/>
    <w:lvl w:ilvl="0">
      <w:lvlJc w:val="left"/>
      <w:lvlText w:val="(%1)"/>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2019-12-09T22:28:53Z</dcterms:created>
  <dcterms:modified xsi:type="dcterms:W3CDTF">2019-12-09T22:28:53Z</dcterms:modified>
</cp:coreProperties>
</file>