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39596-10ka1_therapeutics.htm"/>
      <w:bookmarkStart w:id="1" w:name="ksea023959610ka1_therapeutics"/>
      <w:bookmarkEnd w:id="0"/>
      <w:bookmarkEnd w:id="1"/>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 No. 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ANNUAL REPORT 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TRANSITION REPORT 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transition period from _______ to</w:t>
      </w:r>
      <w:r>
        <w:rPr>
          <w:rFonts w:ascii="Times New Roman;Times;Serif" w:hAnsi="Times New Roman;Times;Serif"/>
          <w:b w:val="false"/>
          <w:i w:val="false"/>
          <w:caps w:val="false"/>
          <w:smallCaps w:val="false"/>
          <w:sz w:val="20"/>
        </w:rPr>
        <w:t xml:space="preserve"> 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001-00100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9077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342900"/>
                    </a:xfrm>
                    <a:prstGeom prst="rect">
                      <a:avLst/>
                    </a:prstGeom>
                  </pic:spPr>
                </pic:pic>
              </a:graphicData>
            </a:graphic>
          </wp:inline>
        </w:drawing>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THERAPEUTICSMD,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center"/>
        <w:rPr>
          <w:caps w:val="false"/>
          <w:smallCaps w:val="false"/>
        </w:rPr>
      </w:pPr>
      <w:r>
        <w:rPr>
          <w:caps w:val="false"/>
          <w:smallCaps w:val="false"/>
        </w:rPr>
        <w:t> </w:t>
      </w:r>
    </w:p>
    <w:tbl>
      <w:tblPr>
        <w:tblW w:w="4405" w:type="dxa"/>
        <w:jc w:val="left"/>
        <w:tblInd w:w="0" w:type="dxa"/>
        <w:tblLayout w:type="fixed"/>
        <w:tblCellMar>
          <w:top w:w="0" w:type="dxa"/>
          <w:left w:w="0" w:type="dxa"/>
          <w:bottom w:w="28" w:type="dxa"/>
          <w:right w:w="0" w:type="dxa"/>
        </w:tblCellMar>
      </w:tblPr>
      <w:tblGrid>
        <w:gridCol w:w="2690"/>
        <w:gridCol w:w="90"/>
        <w:gridCol w:w="1625"/>
      </w:tblGrid>
      <w:tr>
        <w:trPr/>
        <w:tc>
          <w:tcPr>
            <w:tcW w:w="2690" w:type="dxa"/>
            <w:tcBorders>
              <w:bottom w:val="single" w:sz="12" w:space="0" w:color="000000"/>
            </w:tcBorders>
            <w:vAlign w:val="center"/>
          </w:tcPr>
          <w:p>
            <w:pPr>
              <w:pStyle w:val="TableContents"/>
              <w:bidi w:val="0"/>
              <w:spacing w:before="0" w:after="283"/>
              <w:jc w:val="center"/>
              <w:rPr>
                <w:b/>
                <w:sz w:val="20"/>
              </w:rPr>
            </w:pPr>
            <w:r>
              <w:rPr>
                <w:b/>
                <w:sz w:val="20"/>
              </w:rPr>
              <w:t>Nevada</w:t>
            </w:r>
          </w:p>
        </w:tc>
        <w:tc>
          <w:tcPr>
            <w:tcW w:w="90" w:type="dxa"/>
            <w:tcBorders/>
            <w:tcMar>
              <w:bottom w:w="0" w:type="dxa"/>
            </w:tcMar>
            <w:vAlign w:val="center"/>
          </w:tcPr>
          <w:p>
            <w:pPr>
              <w:pStyle w:val="TableContents"/>
              <w:bidi w:val="0"/>
              <w:spacing w:before="0" w:after="283"/>
              <w:jc w:val="left"/>
              <w:rPr/>
            </w:pPr>
            <w:r>
              <w:rPr/>
              <w:t> </w:t>
            </w:r>
          </w:p>
        </w:tc>
        <w:tc>
          <w:tcPr>
            <w:tcW w:w="1625" w:type="dxa"/>
            <w:tcBorders>
              <w:bottom w:val="single" w:sz="12" w:space="0" w:color="000000"/>
            </w:tcBorders>
            <w:vAlign w:val="center"/>
          </w:tcPr>
          <w:p>
            <w:pPr>
              <w:pStyle w:val="TableContents"/>
              <w:bidi w:val="0"/>
              <w:spacing w:before="0" w:after="283"/>
              <w:jc w:val="center"/>
              <w:rPr>
                <w:b/>
                <w:sz w:val="20"/>
              </w:rPr>
            </w:pPr>
            <w:r>
              <w:rPr>
                <w:b/>
                <w:sz w:val="20"/>
              </w:rPr>
              <w:t>87-0233535</w:t>
            </w:r>
          </w:p>
        </w:tc>
      </w:tr>
      <w:tr>
        <w:trPr/>
        <w:tc>
          <w:tcPr>
            <w:tcW w:w="2690" w:type="dxa"/>
            <w:tcBorders/>
            <w:tcMar>
              <w:bottom w:w="0" w:type="dxa"/>
            </w:tcMar>
            <w:vAlign w:val="center"/>
          </w:tcPr>
          <w:p>
            <w:pPr>
              <w:pStyle w:val="TableContents"/>
              <w:bidi w:val="0"/>
              <w:spacing w:before="0" w:after="283"/>
              <w:jc w:val="center"/>
              <w:rPr>
                <w:b/>
                <w:sz w:val="20"/>
              </w:rPr>
            </w:pPr>
            <w:r>
              <w:rPr>
                <w:b/>
                <w:sz w:val="20"/>
              </w:rPr>
              <w:t>(State or other jurisdiction of</w:t>
              <w:br/>
              <w:t>incorporation or organization)</w:t>
            </w:r>
          </w:p>
        </w:tc>
        <w:tc>
          <w:tcPr>
            <w:tcW w:w="9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jc w:val="center"/>
              <w:rPr>
                <w:b/>
                <w:sz w:val="20"/>
              </w:rPr>
            </w:pPr>
            <w:r>
              <w:rPr>
                <w:b/>
                <w:sz w:val="20"/>
              </w:rPr>
              <w:t>(I.R.S. Employer</w:t>
            </w:r>
          </w:p>
          <w:p>
            <w:pPr>
              <w:pStyle w:val="TableContents"/>
              <w:bidi w:val="0"/>
              <w:spacing w:before="0" w:after="283"/>
              <w:jc w:val="center"/>
              <w:rPr>
                <w:b/>
                <w:sz w:val="20"/>
              </w:rPr>
            </w:pPr>
            <w:r>
              <w:rPr>
                <w:b/>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3320"/>
        <w:gridCol w:w="90"/>
        <w:gridCol w:w="995"/>
      </w:tblGrid>
      <w:tr>
        <w:trPr/>
        <w:tc>
          <w:tcPr>
            <w:tcW w:w="3320" w:type="dxa"/>
            <w:tcBorders/>
            <w:vAlign w:val="center"/>
          </w:tcPr>
          <w:p>
            <w:pPr>
              <w:pStyle w:val="TableContents"/>
              <w:bidi w:val="0"/>
              <w:spacing w:before="0" w:after="283"/>
              <w:jc w:val="center"/>
              <w:rPr>
                <w:b/>
                <w:sz w:val="20"/>
              </w:rPr>
            </w:pPr>
            <w:r>
              <w:rPr>
                <w:b/>
                <w:sz w:val="20"/>
              </w:rPr>
              <w:t>951 Yamato Road, Suite 220</w:t>
            </w:r>
          </w:p>
        </w:tc>
        <w:tc>
          <w:tcPr>
            <w:tcW w:w="9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332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Boca Raton, Florida</w:t>
            </w:r>
          </w:p>
        </w:tc>
        <w:tc>
          <w:tcPr>
            <w:tcW w:w="90" w:type="dxa"/>
            <w:tcBorders/>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33431</w:t>
            </w:r>
          </w:p>
        </w:tc>
      </w:tr>
      <w:tr>
        <w:trPr/>
        <w:tc>
          <w:tcPr>
            <w:tcW w:w="3320" w:type="dxa"/>
            <w:tcBorders/>
            <w:vAlign w:val="center"/>
          </w:tcPr>
          <w:p>
            <w:pPr>
              <w:pStyle w:val="TableContents"/>
              <w:bidi w:val="0"/>
              <w:spacing w:before="0" w:after="283"/>
              <w:jc w:val="center"/>
              <w:rPr>
                <w:b/>
                <w:sz w:val="20"/>
              </w:rPr>
            </w:pPr>
            <w:r>
              <w:rPr>
                <w:b/>
                <w:sz w:val="20"/>
              </w:rPr>
              <w:t>(Address of principal executive offices)</w:t>
            </w:r>
          </w:p>
        </w:tc>
        <w:tc>
          <w:tcPr>
            <w:tcW w:w="9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561-961-1900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registered pursuant to Section 12(b) of the Act: </w:t>
      </w:r>
    </w:p>
    <w:p>
      <w:pPr>
        <w:pStyle w:val="TextBody"/>
        <w:bidi w:val="0"/>
        <w:spacing w:before="0" w:after="0"/>
        <w:ind w:left="0" w:right="0" w:hanging="0"/>
        <w:jc w:val="center"/>
        <w:rPr>
          <w:caps w:val="false"/>
          <w:smallCaps w:val="false"/>
        </w:rPr>
      </w:pPr>
      <w:r>
        <w:rPr>
          <w:caps w:val="false"/>
          <w:smallCaps w:val="false"/>
        </w:rPr>
        <w:t> </w:t>
      </w:r>
    </w:p>
    <w:tbl>
      <w:tblPr>
        <w:tblW w:w="9075" w:type="dxa"/>
        <w:jc w:val="left"/>
        <w:tblInd w:w="0" w:type="dxa"/>
        <w:tblLayout w:type="fixed"/>
        <w:tblCellMar>
          <w:top w:w="0" w:type="dxa"/>
          <w:left w:w="0" w:type="dxa"/>
          <w:bottom w:w="28" w:type="dxa"/>
          <w:right w:w="0" w:type="dxa"/>
        </w:tblCellMar>
      </w:tblPr>
      <w:tblGrid>
        <w:gridCol w:w="3710"/>
        <w:gridCol w:w="90"/>
        <w:gridCol w:w="1415"/>
        <w:gridCol w:w="90"/>
        <w:gridCol w:w="3770"/>
      </w:tblGrid>
      <w:tr>
        <w:trPr/>
        <w:tc>
          <w:tcPr>
            <w:tcW w:w="371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b/>
                <w:sz w:val="20"/>
              </w:rPr>
            </w:pPr>
            <w:r>
              <w:rPr>
                <w:b/>
                <w:sz w:val="20"/>
              </w:rPr>
              <w:t>Trading symbol</w:t>
            </w:r>
          </w:p>
        </w:tc>
        <w:tc>
          <w:tcPr>
            <w:tcW w:w="90" w:type="dxa"/>
            <w:tcBorders/>
            <w:tcMar>
              <w:bottom w:w="0" w:type="dxa"/>
            </w:tcMar>
            <w:vAlign w:val="center"/>
          </w:tcPr>
          <w:p>
            <w:pPr>
              <w:pStyle w:val="TableContents"/>
              <w:bidi w:val="0"/>
              <w:spacing w:before="0" w:after="283"/>
              <w:jc w:val="center"/>
              <w:rPr/>
            </w:pPr>
            <w:r>
              <w:rPr/>
              <w:t> </w:t>
            </w:r>
          </w:p>
        </w:tc>
        <w:tc>
          <w:tcPr>
            <w:tcW w:w="377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710" w:type="dxa"/>
            <w:tcBorders/>
            <w:shd w:fill="CCEEFF" w:val="clear"/>
            <w:tcMar>
              <w:bottom w:w="0" w:type="dxa"/>
            </w:tcMar>
            <w:vAlign w:val="center"/>
          </w:tcPr>
          <w:p>
            <w:pPr>
              <w:pStyle w:val="TableContents"/>
              <w:bidi w:val="0"/>
              <w:spacing w:before="0" w:after="283"/>
              <w:jc w:val="center"/>
              <w:rPr>
                <w:b/>
                <w:sz w:val="20"/>
              </w:rPr>
            </w:pPr>
            <w:r>
              <w:rPr>
                <w:b/>
                <w:sz w:val="20"/>
              </w:rPr>
              <w:t>Common Stock, par value $0.001 per share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b/>
                <w:sz w:val="20"/>
              </w:rPr>
            </w:pPr>
            <w:r>
              <w:rPr>
                <w:b/>
                <w:sz w:val="20"/>
              </w:rPr>
              <w:t>TXMD</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770" w:type="dxa"/>
            <w:tcBorders/>
            <w:shd w:fill="CCEEFF" w:val="clear"/>
            <w:tcMar>
              <w:bottom w:w="0" w:type="dxa"/>
            </w:tcMar>
            <w:vAlign w:val="center"/>
          </w:tcPr>
          <w:p>
            <w:pPr>
              <w:pStyle w:val="TableContents"/>
              <w:bidi w:val="0"/>
              <w:spacing w:before="0" w:after="283"/>
              <w:jc w:val="center"/>
              <w:rPr>
                <w:b/>
                <w:sz w:val="20"/>
              </w:rPr>
            </w:pPr>
            <w:r>
              <w:rPr>
                <w:b/>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12(g) of the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90" w:type="dxa"/>
        <w:jc w:val="left"/>
        <w:tblInd w:w="0" w:type="dxa"/>
        <w:tblLayout w:type="fixed"/>
        <w:tblCellMar>
          <w:top w:w="0" w:type="dxa"/>
          <w:left w:w="0" w:type="dxa"/>
          <w:bottom w:w="0" w:type="dxa"/>
          <w:right w:w="0" w:type="dxa"/>
        </w:tblCellMar>
      </w:tblPr>
      <w:tblGrid>
        <w:gridCol w:w="2270"/>
        <w:gridCol w:w="260"/>
        <w:gridCol w:w="2255"/>
        <w:gridCol w:w="305"/>
      </w:tblGrid>
      <w:tr>
        <w:trPr/>
        <w:tc>
          <w:tcPr>
            <w:tcW w:w="2270" w:type="dxa"/>
            <w:tcBorders/>
            <w:vAlign w:val="center"/>
          </w:tcPr>
          <w:p>
            <w:pPr>
              <w:pStyle w:val="TableContents"/>
              <w:bidi w:val="0"/>
              <w:spacing w:before="0" w:after="283"/>
              <w:jc w:val="left"/>
              <w:rPr>
                <w:sz w:val="20"/>
              </w:rPr>
            </w:pPr>
            <w:r>
              <w:rPr>
                <w:sz w:val="20"/>
              </w:rPr>
              <w:t>Large 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sz w:val="20"/>
              </w:rPr>
            </w:pPr>
            <w:r>
              <w:rPr>
                <w:sz w:val="20"/>
              </w:rPr>
              <w:t>Accelerated filer</w:t>
            </w:r>
          </w:p>
        </w:tc>
        <w:tc>
          <w:tcPr>
            <w:tcW w:w="305" w:type="dxa"/>
            <w:tcBorders/>
            <w:vAlign w:val="center"/>
          </w:tcPr>
          <w:p>
            <w:pPr>
              <w:pStyle w:val="TableContents"/>
              <w:bidi w:val="0"/>
              <w:spacing w:before="0" w:after="283"/>
              <w:jc w:val="left"/>
              <w:rPr/>
            </w:pPr>
            <w:r>
              <w:rPr/>
              <w:t>☐</w:t>
            </w:r>
          </w:p>
        </w:tc>
      </w:tr>
      <w:tr>
        <w:trPr/>
        <w:tc>
          <w:tcPr>
            <w:tcW w:w="2270" w:type="dxa"/>
            <w:tcBorders/>
            <w:vAlign w:val="center"/>
          </w:tcPr>
          <w:p>
            <w:pPr>
              <w:pStyle w:val="TableContents"/>
              <w:bidi w:val="0"/>
              <w:spacing w:before="0" w:after="283"/>
              <w:jc w:val="left"/>
              <w:rPr>
                <w:sz w:val="20"/>
              </w:rPr>
            </w:pPr>
            <w:r>
              <w:rPr>
                <w:sz w:val="20"/>
              </w:rPr>
              <w:t>Non-accelerated filer </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sz w:val="20"/>
              </w:rPr>
            </w:pPr>
            <w:r>
              <w:rPr>
                <w:sz w:val="20"/>
              </w:rPr>
              <w:t>Smaller reporting company</w:t>
            </w:r>
          </w:p>
        </w:tc>
        <w:tc>
          <w:tcPr>
            <w:tcW w:w="305" w:type="dxa"/>
            <w:tcBorders/>
            <w:vAlign w:val="center"/>
          </w:tcPr>
          <w:p>
            <w:pPr>
              <w:pStyle w:val="TableContents"/>
              <w:bidi w:val="0"/>
              <w:spacing w:before="0" w:after="283"/>
              <w:jc w:val="left"/>
              <w:rPr/>
            </w:pPr>
            <w:r>
              <w:rPr/>
              <w:t>☒</w:t>
            </w:r>
          </w:p>
        </w:tc>
      </w:tr>
      <w:tr>
        <w:trPr/>
        <w:tc>
          <w:tcPr>
            <w:tcW w:w="2270" w:type="dxa"/>
            <w:tcBorders/>
            <w:vAlign w:val="center"/>
          </w:tcPr>
          <w:p>
            <w:pPr>
              <w:pStyle w:val="TableContents"/>
              <w:bidi w:val="0"/>
              <w:spacing w:before="0" w:after="283"/>
              <w:jc w:val="left"/>
              <w:rPr>
                <w:sz w:val="20"/>
              </w:rPr>
            </w:pPr>
            <w:r>
              <w:rPr>
                <w:sz w:val="20"/>
              </w:rPr>
              <w:t>Emerging growth company</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registrant’s most recently completed second fiscal quarter, the aggregate market value of the voting and non-voting common equity held by non-affiliates computed by reference to the market price at which the common equity was last sold was $13,408,634.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18, 2025, there were outstanding 11,574,362 shares of the registrant’s common stock, par value $0.001 per share.</w:t>
      </w:r>
    </w:p>
    <w:p>
      <w:pPr>
        <w:pStyle w:val="TextBody"/>
        <w:bidi w:val="0"/>
        <w:spacing w:before="0" w:after="0"/>
        <w:ind w:left="0" w:right="0" w:hanging="0"/>
        <w:jc w:val="left"/>
        <w:rPr>
          <w:caps w:val="false"/>
          <w:smallCaps w:val="false"/>
        </w:rPr>
      </w:pPr>
      <w:r>
        <w:rPr>
          <w:caps w:val="false"/>
          <w:smallCaps w:val="false"/>
        </w:rPr>
        <w:t> </w:t>
      </w:r>
    </w:p>
    <w:tbl>
      <w:tblPr>
        <w:tblW w:w="7020" w:type="dxa"/>
        <w:jc w:val="left"/>
        <w:tblInd w:w="0" w:type="dxa"/>
        <w:tblLayout w:type="fixed"/>
        <w:tblCellMar>
          <w:top w:w="0" w:type="dxa"/>
          <w:left w:w="0" w:type="dxa"/>
          <w:bottom w:w="28" w:type="dxa"/>
          <w:right w:w="0" w:type="dxa"/>
        </w:tblCellMar>
      </w:tblPr>
      <w:tblGrid>
        <w:gridCol w:w="3515"/>
        <w:gridCol w:w="90"/>
        <w:gridCol w:w="1775"/>
        <w:gridCol w:w="90"/>
        <w:gridCol w:w="1550"/>
      </w:tblGrid>
      <w:tr>
        <w:trPr/>
        <w:tc>
          <w:tcPr>
            <w:tcW w:w="3515" w:type="dxa"/>
            <w:tcBorders>
              <w:bottom w:val="single" w:sz="12" w:space="0" w:color="000000"/>
            </w:tcBorders>
            <w:vAlign w:val="center"/>
          </w:tcPr>
          <w:p>
            <w:pPr>
              <w:pStyle w:val="TableContents"/>
              <w:bidi w:val="0"/>
              <w:spacing w:before="0" w:after="283"/>
              <w:jc w:val="center"/>
              <w:rPr>
                <w:b/>
                <w:sz w:val="20"/>
              </w:rPr>
            </w:pPr>
            <w:r>
              <w:rPr>
                <w:b/>
                <w:sz w:val="20"/>
              </w:rPr>
              <w:t>Auditor Name:</w:t>
            </w:r>
          </w:p>
        </w:tc>
        <w:tc>
          <w:tcPr>
            <w:tcW w:w="9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b/>
                <w:sz w:val="20"/>
              </w:rPr>
            </w:pPr>
            <w:r>
              <w:rPr>
                <w:b/>
                <w:sz w:val="20"/>
              </w:rPr>
              <w:t>Auditor Location:</w:t>
            </w:r>
          </w:p>
        </w:tc>
        <w:tc>
          <w:tcPr>
            <w:tcW w:w="90" w:type="dxa"/>
            <w:tcBorders/>
            <w:tcMar>
              <w:bottom w:w="0" w:type="dxa"/>
            </w:tcMar>
            <w:vAlign w:val="center"/>
          </w:tcPr>
          <w:p>
            <w:pPr>
              <w:pStyle w:val="TableContents"/>
              <w:bidi w:val="0"/>
              <w:spacing w:before="0" w:after="283"/>
              <w:jc w:val="center"/>
              <w:rPr/>
            </w:pPr>
            <w:r>
              <w:rPr/>
              <w:t> </w:t>
            </w:r>
          </w:p>
        </w:tc>
        <w:tc>
          <w:tcPr>
            <w:tcW w:w="1550" w:type="dxa"/>
            <w:tcBorders>
              <w:bottom w:val="single" w:sz="12" w:space="0" w:color="000000"/>
            </w:tcBorders>
            <w:vAlign w:val="center"/>
          </w:tcPr>
          <w:p>
            <w:pPr>
              <w:pStyle w:val="TableContents"/>
              <w:bidi w:val="0"/>
              <w:spacing w:before="0" w:after="283"/>
              <w:jc w:val="center"/>
              <w:rPr>
                <w:b/>
                <w:sz w:val="20"/>
              </w:rPr>
            </w:pPr>
            <w:r>
              <w:rPr>
                <w:b/>
                <w:sz w:val="20"/>
              </w:rPr>
              <w:t>Auditor Firm ID:</w:t>
            </w:r>
          </w:p>
        </w:tc>
      </w:tr>
      <w:tr>
        <w:trPr/>
        <w:tc>
          <w:tcPr>
            <w:tcW w:w="3515" w:type="dxa"/>
            <w:tcBorders/>
            <w:shd w:fill="CCEEFF" w:val="clear"/>
            <w:tcMar>
              <w:bottom w:w="0" w:type="dxa"/>
            </w:tcMar>
            <w:vAlign w:val="center"/>
          </w:tcPr>
          <w:p>
            <w:pPr>
              <w:pStyle w:val="TableContents"/>
              <w:bidi w:val="0"/>
              <w:spacing w:before="0" w:after="283"/>
              <w:jc w:val="center"/>
              <w:rPr>
                <w:sz w:val="20"/>
              </w:rPr>
            </w:pPr>
            <w:r>
              <w:rPr>
                <w:sz w:val="20"/>
              </w:rPr>
              <w:t>Berkowitz Pollack Brant, Advisors + CPAs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775" w:type="dxa"/>
            <w:tcBorders/>
            <w:shd w:fill="CCEEFF" w:val="clear"/>
            <w:tcMar>
              <w:bottom w:w="0" w:type="dxa"/>
            </w:tcMar>
            <w:vAlign w:val="center"/>
          </w:tcPr>
          <w:p>
            <w:pPr>
              <w:pStyle w:val="TableContents"/>
              <w:bidi w:val="0"/>
              <w:spacing w:before="0" w:after="283"/>
              <w:jc w:val="center"/>
              <w:rPr>
                <w:sz w:val="20"/>
              </w:rPr>
            </w:pPr>
            <w:r>
              <w:rPr>
                <w:sz w:val="20"/>
              </w:rPr>
              <w:t>West Palm Beach, FL</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50" w:type="dxa"/>
            <w:tcBorders/>
            <w:shd w:fill="CCEEFF" w:val="clear"/>
            <w:tcMar>
              <w:bottom w:w="0" w:type="dxa"/>
            </w:tcMar>
            <w:vAlign w:val="center"/>
          </w:tcPr>
          <w:p>
            <w:pPr>
              <w:pStyle w:val="TableContents"/>
              <w:bidi w:val="0"/>
              <w:spacing w:before="0" w:after="283"/>
              <w:jc w:val="center"/>
              <w:rPr>
                <w:sz w:val="20"/>
              </w:rPr>
            </w:pPr>
            <w:r>
              <w:rPr>
                <w:sz w:val="20"/>
              </w:rPr>
              <w:t>52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EXPLANATORY NOTE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on Form 10-K/A, or the Form 10-K/A, is being filed by TherapeuticsMD, Inc., or the Company, in order to disclose information required by Items 10, 11, 12, 13 and 14 of Part III of Form 10-K, which information was omitted from the Company’s Form 10-K for the fiscal year ended December 31, 2024 (the “Original Form 10-K”), in reliance on Instruction G to Form 10-K. The Original Form 10-K was filed with the Securities and Exchange Commission, or SEC, on March 27, 2025.</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expect to file its definitive proxy statement for its upcoming annual stockholders’ meeting within one hundred twenty (120) days of the end of its most recent fiscal year (as required under Instruction G to Form 10-K). Therefore, the Company is filing this Form 10-K/A in order to include information that would have been contained in the definitive proxy statement into the Original Form 10-K. The Company is also filing as exhibits to this Form 10-K/A new certifications with respect to this filing by its principal executive officer and principal financial officer pursuant to Section 302 of the Sarbanes-Oxley Act of 2002; accordingly, Item 15 of Part IV has also been amended to reflect the filing of these new exhibits. Because no financial statements are being filed in this Form 10-K/A, and this Form 10-K/A does not contain or amend any disclosure with respect to Items 307 and 308 of Regulation S-K, paragraphs 3, 4 and 5 of the certifications have been omitted. The Company is also not filing new certifications required under Section 906 of the Sarbanes-Oxley Act of 2002, since no financial statements are being filed with this Form 10-K/A. Finally, the Company is filing this Form 10-K/A to delete the reference on the cover of the Original Form 10-K to the incorporation by reference of portions of its definitive proxy statement into Part III of the Original Form 10-K.</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10-K/A is limited in scope to the items identified above and should be read in conjunction with the Original Form 10-K and the Company’s other filings with the SEC. This Form 10-K/A does not reflect events occurring after the filing of the Original Form 10-K or modify or update those disclosures affected by subsequent events. Consequently, all other information is unchanged and reflects the disclosures made at the time of the filing of the Original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bidi w:val="0"/>
        <w:spacing w:before="0" w:after="0"/>
        <w:ind w:left="0" w:right="0" w:hanging="0"/>
        <w:jc w:val="center"/>
        <w:rPr>
          <w:caps w:val="false"/>
          <w:smallCaps w:val="false"/>
        </w:rPr>
      </w:pPr>
      <w:r>
        <w:rPr>
          <w:caps w:val="false"/>
          <w:smallCaps w:val="false"/>
        </w:rPr>
        <w:t> </w:t>
      </w:r>
    </w:p>
    <w:tbl>
      <w:tblPr>
        <w:tblW w:w="9510" w:type="dxa"/>
        <w:jc w:val="left"/>
        <w:tblInd w:w="0" w:type="dxa"/>
        <w:tblLayout w:type="fixed"/>
        <w:tblCellMar>
          <w:top w:w="0" w:type="dxa"/>
          <w:left w:w="0" w:type="dxa"/>
          <w:bottom w:w="0" w:type="dxa"/>
          <w:right w:w="0" w:type="dxa"/>
        </w:tblCellMar>
      </w:tblPr>
      <w:tblGrid>
        <w:gridCol w:w="725"/>
        <w:gridCol w:w="8195"/>
        <w:gridCol w:w="590"/>
      </w:tblGrid>
      <w:tr>
        <w:trPr/>
        <w:tc>
          <w:tcPr>
            <w:tcW w:w="9510"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w:t>
            </w:r>
          </w:p>
        </w:tc>
      </w:tr>
      <w:tr>
        <w:trPr/>
        <w:tc>
          <w:tcPr>
            <w:tcW w:w="725"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725" w:type="dxa"/>
            <w:tcBorders/>
            <w:shd w:fill="CCEEFF" w:val="clear"/>
            <w:vAlign w:val="center"/>
          </w:tcPr>
          <w:p>
            <w:pPr>
              <w:pStyle w:val="TableContents"/>
              <w:bidi w:val="0"/>
              <w:spacing w:before="0" w:after="283"/>
              <w:jc w:val="left"/>
              <w:rPr>
                <w:sz w:val="20"/>
              </w:rPr>
            </w:pPr>
            <w:r>
              <w:rPr>
                <w:sz w:val="20"/>
              </w:rPr>
              <w:t>Item 10.</w:t>
            </w:r>
          </w:p>
        </w:tc>
        <w:tc>
          <w:tcPr>
            <w:tcW w:w="8195" w:type="dxa"/>
            <w:tcBorders/>
            <w:shd w:fill="CCEEFF" w:val="clear"/>
            <w:vAlign w:val="center"/>
          </w:tcPr>
          <w:p>
            <w:pPr>
              <w:pStyle w:val="TableContents"/>
              <w:bidi w:val="0"/>
              <w:spacing w:before="0" w:after="283"/>
              <w:jc w:val="left"/>
              <w:rPr/>
            </w:pPr>
            <w:hyperlink w:anchor="a_001">
              <w:r>
                <w:rPr>
                  <w:rStyle w:val="InternetLink"/>
                  <w:sz w:val="20"/>
                </w:rPr>
                <w:t>Directors, Executive Officers and Corporate Governance</w:t>
              </w:r>
            </w:hyperlink>
          </w:p>
        </w:tc>
        <w:tc>
          <w:tcPr>
            <w:tcW w:w="590" w:type="dxa"/>
            <w:tcBorders/>
            <w:shd w:fill="CCEEFF" w:val="clear"/>
            <w:vAlign w:val="center"/>
          </w:tcPr>
          <w:p>
            <w:pPr>
              <w:pStyle w:val="TableContents"/>
              <w:bidi w:val="0"/>
              <w:spacing w:before="0" w:after="283"/>
              <w:jc w:val="center"/>
              <w:rPr/>
            </w:pPr>
            <w:r>
              <w:rPr/>
              <w:t>1</w:t>
            </w:r>
          </w:p>
        </w:tc>
      </w:tr>
      <w:tr>
        <w:trPr/>
        <w:tc>
          <w:tcPr>
            <w:tcW w:w="725" w:type="dxa"/>
            <w:tcBorders/>
            <w:vAlign w:val="center"/>
          </w:tcPr>
          <w:p>
            <w:pPr>
              <w:pStyle w:val="TableContents"/>
              <w:bidi w:val="0"/>
              <w:spacing w:before="0" w:after="283"/>
              <w:jc w:val="left"/>
              <w:rPr>
                <w:sz w:val="20"/>
              </w:rPr>
            </w:pPr>
            <w:r>
              <w:rPr>
                <w:sz w:val="20"/>
              </w:rPr>
              <w:t>Item 11.</w:t>
            </w:r>
          </w:p>
        </w:tc>
        <w:tc>
          <w:tcPr>
            <w:tcW w:w="8195" w:type="dxa"/>
            <w:tcBorders/>
            <w:vAlign w:val="center"/>
          </w:tcPr>
          <w:p>
            <w:pPr>
              <w:pStyle w:val="TableContents"/>
              <w:bidi w:val="0"/>
              <w:spacing w:before="0" w:after="283"/>
              <w:jc w:val="left"/>
              <w:rPr/>
            </w:pPr>
            <w:hyperlink w:anchor="a_002">
              <w:r>
                <w:rPr>
                  <w:rStyle w:val="InternetLink"/>
                  <w:sz w:val="20"/>
                </w:rPr>
                <w:t>Executive Compensation</w:t>
              </w:r>
            </w:hyperlink>
          </w:p>
        </w:tc>
        <w:tc>
          <w:tcPr>
            <w:tcW w:w="590" w:type="dxa"/>
            <w:tcBorders/>
            <w:vAlign w:val="center"/>
          </w:tcPr>
          <w:p>
            <w:pPr>
              <w:pStyle w:val="TableContents"/>
              <w:bidi w:val="0"/>
              <w:spacing w:before="0" w:after="283"/>
              <w:jc w:val="center"/>
              <w:rPr/>
            </w:pPr>
            <w:r>
              <w:rPr/>
              <w:t>9</w:t>
            </w:r>
          </w:p>
        </w:tc>
      </w:tr>
      <w:tr>
        <w:trPr/>
        <w:tc>
          <w:tcPr>
            <w:tcW w:w="725" w:type="dxa"/>
            <w:tcBorders/>
            <w:shd w:fill="CCEEFF" w:val="clear"/>
            <w:vAlign w:val="center"/>
          </w:tcPr>
          <w:p>
            <w:pPr>
              <w:pStyle w:val="TableContents"/>
              <w:bidi w:val="0"/>
              <w:spacing w:before="0" w:after="283"/>
              <w:jc w:val="left"/>
              <w:rPr>
                <w:sz w:val="20"/>
              </w:rPr>
            </w:pPr>
            <w:r>
              <w:rPr>
                <w:sz w:val="20"/>
              </w:rPr>
              <w:t>Item 12.</w:t>
            </w:r>
          </w:p>
        </w:tc>
        <w:tc>
          <w:tcPr>
            <w:tcW w:w="8195" w:type="dxa"/>
            <w:tcBorders/>
            <w:shd w:fill="CCEEFF" w:val="clear"/>
            <w:vAlign w:val="center"/>
          </w:tcPr>
          <w:p>
            <w:pPr>
              <w:pStyle w:val="TableContents"/>
              <w:bidi w:val="0"/>
              <w:spacing w:before="0" w:after="283"/>
              <w:jc w:val="left"/>
              <w:rPr/>
            </w:pPr>
            <w:hyperlink w:anchor="a_003">
              <w:r>
                <w:rPr>
                  <w:rStyle w:val="InternetLink"/>
                  <w:sz w:val="20"/>
                </w:rPr>
                <w:t>Security Ownership of Certain Beneficial Owners and Management and Related Stockholder Matters</w:t>
              </w:r>
            </w:hyperlink>
          </w:p>
        </w:tc>
        <w:tc>
          <w:tcPr>
            <w:tcW w:w="590" w:type="dxa"/>
            <w:tcBorders/>
            <w:shd w:fill="CCEEFF" w:val="clear"/>
            <w:vAlign w:val="center"/>
          </w:tcPr>
          <w:p>
            <w:pPr>
              <w:pStyle w:val="TableContents"/>
              <w:bidi w:val="0"/>
              <w:spacing w:before="0" w:after="283"/>
              <w:jc w:val="center"/>
              <w:rPr/>
            </w:pPr>
            <w:r>
              <w:rPr/>
              <w:t>14</w:t>
            </w:r>
          </w:p>
        </w:tc>
      </w:tr>
      <w:tr>
        <w:trPr/>
        <w:tc>
          <w:tcPr>
            <w:tcW w:w="725" w:type="dxa"/>
            <w:tcBorders/>
            <w:vAlign w:val="center"/>
          </w:tcPr>
          <w:p>
            <w:pPr>
              <w:pStyle w:val="TableContents"/>
              <w:bidi w:val="0"/>
              <w:spacing w:before="0" w:after="283"/>
              <w:jc w:val="left"/>
              <w:rPr>
                <w:sz w:val="20"/>
              </w:rPr>
            </w:pPr>
            <w:r>
              <w:rPr>
                <w:sz w:val="20"/>
              </w:rPr>
              <w:t>Item 13.</w:t>
            </w:r>
          </w:p>
        </w:tc>
        <w:tc>
          <w:tcPr>
            <w:tcW w:w="8195" w:type="dxa"/>
            <w:tcBorders/>
            <w:vAlign w:val="center"/>
          </w:tcPr>
          <w:p>
            <w:pPr>
              <w:pStyle w:val="TableContents"/>
              <w:bidi w:val="0"/>
              <w:spacing w:before="0" w:after="283"/>
              <w:jc w:val="left"/>
              <w:rPr/>
            </w:pPr>
            <w:hyperlink w:anchor="a_004">
              <w:r>
                <w:rPr>
                  <w:rStyle w:val="InternetLink"/>
                  <w:sz w:val="20"/>
                </w:rPr>
                <w:t>Certain Relationships and Related Transactions, and Director Independence</w:t>
              </w:r>
            </w:hyperlink>
          </w:p>
        </w:tc>
        <w:tc>
          <w:tcPr>
            <w:tcW w:w="590" w:type="dxa"/>
            <w:tcBorders/>
            <w:vAlign w:val="center"/>
          </w:tcPr>
          <w:p>
            <w:pPr>
              <w:pStyle w:val="TableContents"/>
              <w:bidi w:val="0"/>
              <w:spacing w:before="0" w:after="283"/>
              <w:jc w:val="center"/>
              <w:rPr/>
            </w:pPr>
            <w:r>
              <w:rPr/>
              <w:t>16</w:t>
            </w:r>
          </w:p>
        </w:tc>
      </w:tr>
      <w:tr>
        <w:trPr/>
        <w:tc>
          <w:tcPr>
            <w:tcW w:w="725" w:type="dxa"/>
            <w:tcBorders/>
            <w:shd w:fill="CCEEFF" w:val="clear"/>
            <w:vAlign w:val="center"/>
          </w:tcPr>
          <w:p>
            <w:pPr>
              <w:pStyle w:val="TableContents"/>
              <w:bidi w:val="0"/>
              <w:spacing w:before="0" w:after="283"/>
              <w:jc w:val="left"/>
              <w:rPr>
                <w:sz w:val="20"/>
              </w:rPr>
            </w:pPr>
            <w:r>
              <w:rPr>
                <w:sz w:val="20"/>
              </w:rPr>
              <w:t>Item 14.</w:t>
            </w:r>
          </w:p>
        </w:tc>
        <w:tc>
          <w:tcPr>
            <w:tcW w:w="8195" w:type="dxa"/>
            <w:tcBorders/>
            <w:shd w:fill="CCEEFF" w:val="clear"/>
            <w:vAlign w:val="center"/>
          </w:tcPr>
          <w:p>
            <w:pPr>
              <w:pStyle w:val="TableContents"/>
              <w:bidi w:val="0"/>
              <w:spacing w:before="0" w:after="283"/>
              <w:jc w:val="left"/>
              <w:rPr/>
            </w:pPr>
            <w:hyperlink w:anchor="a_005">
              <w:r>
                <w:rPr>
                  <w:rStyle w:val="InternetLink"/>
                  <w:sz w:val="20"/>
                </w:rPr>
                <w:t>Principal Accountant Fees and Services</w:t>
              </w:r>
            </w:hyperlink>
          </w:p>
        </w:tc>
        <w:tc>
          <w:tcPr>
            <w:tcW w:w="590" w:type="dxa"/>
            <w:tcBorders/>
            <w:shd w:fill="CCEEFF" w:val="clear"/>
            <w:vAlign w:val="center"/>
          </w:tcPr>
          <w:p>
            <w:pPr>
              <w:pStyle w:val="TableContents"/>
              <w:bidi w:val="0"/>
              <w:spacing w:before="0" w:after="283"/>
              <w:jc w:val="center"/>
              <w:rPr/>
            </w:pPr>
            <w:r>
              <w:rPr/>
              <w:t>17</w:t>
            </w:r>
          </w:p>
        </w:tc>
      </w:tr>
      <w:tr>
        <w:trPr/>
        <w:tc>
          <w:tcPr>
            <w:tcW w:w="9510"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IV </w:t>
            </w:r>
          </w:p>
        </w:tc>
      </w:tr>
      <w:tr>
        <w:trPr/>
        <w:tc>
          <w:tcPr>
            <w:tcW w:w="725"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r>
      <w:tr>
        <w:trPr/>
        <w:tc>
          <w:tcPr>
            <w:tcW w:w="725" w:type="dxa"/>
            <w:tcBorders/>
            <w:vAlign w:val="center"/>
          </w:tcPr>
          <w:p>
            <w:pPr>
              <w:pStyle w:val="TableContents"/>
              <w:bidi w:val="0"/>
              <w:spacing w:before="0" w:after="283"/>
              <w:jc w:val="left"/>
              <w:rPr>
                <w:sz w:val="20"/>
              </w:rPr>
            </w:pPr>
            <w:r>
              <w:rPr>
                <w:sz w:val="20"/>
              </w:rPr>
              <w:t>Item 15.</w:t>
            </w:r>
          </w:p>
        </w:tc>
        <w:tc>
          <w:tcPr>
            <w:tcW w:w="8195" w:type="dxa"/>
            <w:tcBorders/>
            <w:vAlign w:val="center"/>
          </w:tcPr>
          <w:p>
            <w:pPr>
              <w:pStyle w:val="TableContents"/>
              <w:bidi w:val="0"/>
              <w:spacing w:before="0" w:after="283"/>
              <w:jc w:val="left"/>
              <w:rPr/>
            </w:pPr>
            <w:hyperlink w:anchor="a_006">
              <w:r>
                <w:rPr>
                  <w:rStyle w:val="InternetLink"/>
                  <w:sz w:val="20"/>
                </w:rPr>
                <w:t>Exhibits and Financial Statement Schedules</w:t>
              </w:r>
            </w:hyperlink>
          </w:p>
        </w:tc>
        <w:tc>
          <w:tcPr>
            <w:tcW w:w="590" w:type="dxa"/>
            <w:tcBorders/>
            <w:vAlign w:val="center"/>
          </w:tcPr>
          <w:p>
            <w:pPr>
              <w:pStyle w:val="TableContents"/>
              <w:bidi w:val="0"/>
              <w:spacing w:before="0" w:after="283"/>
              <w:jc w:val="center"/>
              <w:rPr/>
            </w:pPr>
            <w:r>
              <w:rPr/>
              <w:t>18</w:t>
            </w:r>
          </w:p>
        </w:tc>
      </w:tr>
      <w:tr>
        <w:trPr/>
        <w:tc>
          <w:tcPr>
            <w:tcW w:w="725"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left"/>
              <w:rPr/>
            </w:pPr>
            <w:hyperlink w:anchor="a_007">
              <w:r>
                <w:rPr>
                  <w:rStyle w:val="InternetLink"/>
                  <w:sz w:val="20"/>
                </w:rPr>
                <w:t>Signatures</w:t>
              </w:r>
            </w:hyperlink>
          </w:p>
        </w:tc>
        <w:tc>
          <w:tcPr>
            <w:tcW w:w="590" w:type="dxa"/>
            <w:tcBorders/>
            <w:shd w:fill="CCEEFF" w:val="clear"/>
            <w:vAlign w:val="center"/>
          </w:tcPr>
          <w:p>
            <w:pPr>
              <w:pStyle w:val="TableContents"/>
              <w:bidi w:val="0"/>
              <w:spacing w:before="0" w:after="283"/>
              <w:jc w:val="center"/>
              <w:rPr/>
            </w:pPr>
            <w:r>
              <w:rPr/>
              <w:t>23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 xml:space="preserve">Item 10. Directors, Executive Officers and Corporate Governance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the current directors of the Company.</w:t>
      </w:r>
    </w:p>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2015"/>
        <w:gridCol w:w="90"/>
        <w:gridCol w:w="380"/>
        <w:gridCol w:w="90"/>
        <w:gridCol w:w="2195"/>
      </w:tblGrid>
      <w:tr>
        <w:trPr/>
        <w:tc>
          <w:tcPr>
            <w:tcW w:w="2015"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b/>
                <w:sz w:val="20"/>
              </w:rPr>
            </w:pPr>
            <w:r>
              <w:rPr>
                <w:b/>
                <w:sz w:val="20"/>
              </w:rPr>
              <w:t>Age</w:t>
            </w:r>
          </w:p>
        </w:tc>
        <w:tc>
          <w:tcPr>
            <w:tcW w:w="90" w:type="dxa"/>
            <w:tcBorders/>
            <w:tcMar>
              <w:bottom w:w="0" w:type="dxa"/>
            </w:tcMar>
            <w:vAlign w:val="center"/>
          </w:tcPr>
          <w:p>
            <w:pPr>
              <w:pStyle w:val="TableContents"/>
              <w:bidi w:val="0"/>
              <w:spacing w:before="0" w:after="283"/>
              <w:jc w:val="left"/>
              <w:rPr/>
            </w:pPr>
            <w:r>
              <w:rPr/>
              <w:t> </w:t>
            </w:r>
          </w:p>
        </w:tc>
        <w:tc>
          <w:tcPr>
            <w:tcW w:w="2195" w:type="dxa"/>
            <w:tcBorders>
              <w:bottom w:val="single" w:sz="12" w:space="0" w:color="000000"/>
            </w:tcBorders>
            <w:vAlign w:val="center"/>
          </w:tcPr>
          <w:p>
            <w:pPr>
              <w:pStyle w:val="TableContents"/>
              <w:bidi w:val="0"/>
              <w:spacing w:before="0" w:after="283"/>
              <w:jc w:val="center"/>
              <w:rPr>
                <w:b/>
                <w:sz w:val="20"/>
              </w:rPr>
            </w:pPr>
            <w:r>
              <w:rPr>
                <w:b/>
                <w:sz w:val="20"/>
              </w:rPr>
              <w:t>Position</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Tommy G. Thompson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95" w:type="dxa"/>
            <w:tcBorders/>
            <w:shd w:fill="CCEEFF" w:val="clear"/>
            <w:tcMar>
              <w:bottom w:w="0" w:type="dxa"/>
            </w:tcMar>
            <w:vAlign w:val="center"/>
          </w:tcPr>
          <w:p>
            <w:pPr>
              <w:pStyle w:val="TableContents"/>
              <w:bidi w:val="0"/>
              <w:spacing w:before="0" w:after="283"/>
              <w:jc w:val="left"/>
              <w:rPr>
                <w:sz w:val="20"/>
              </w:rPr>
            </w:pPr>
            <w:r>
              <w:rPr>
                <w:sz w:val="20"/>
              </w:rPr>
              <w:t xml:space="preserve">Chairman of the Board </w:t>
            </w:r>
            <w:r>
              <w:rPr>
                <w:position w:val="7"/>
                <w:sz w:val="16"/>
                <w:sz w:val="20"/>
              </w:rPr>
              <w:t>(2)</w:t>
            </w:r>
          </w:p>
        </w:tc>
      </w:tr>
      <w:tr>
        <w:trPr/>
        <w:tc>
          <w:tcPr>
            <w:tcW w:w="2015" w:type="dxa"/>
            <w:tcBorders/>
            <w:tcMar>
              <w:bottom w:w="0" w:type="dxa"/>
            </w:tcMar>
            <w:vAlign w:val="center"/>
          </w:tcPr>
          <w:p>
            <w:pPr>
              <w:pStyle w:val="TableContents"/>
              <w:bidi w:val="0"/>
              <w:spacing w:before="0" w:after="283"/>
              <w:jc w:val="left"/>
              <w:rPr>
                <w:sz w:val="20"/>
              </w:rPr>
            </w:pPr>
            <w:r>
              <w:rPr>
                <w:sz w:val="20"/>
              </w:rPr>
              <w:t>Cooper C. Collins</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45</w:t>
            </w:r>
          </w:p>
        </w:tc>
        <w:tc>
          <w:tcPr>
            <w:tcW w:w="9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sz w:val="20"/>
              </w:rPr>
            </w:pPr>
            <w:r>
              <w:rPr>
                <w:sz w:val="20"/>
              </w:rPr>
              <w:t xml:space="preserve">Director </w:t>
            </w:r>
            <w:r>
              <w:rPr>
                <w:position w:val="7"/>
                <w:sz w:val="16"/>
                <w:sz w:val="20"/>
              </w:rPr>
              <w:t>(1)(2)</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Gail K. Naughton, Ph.D.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69</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95" w:type="dxa"/>
            <w:tcBorders/>
            <w:shd w:fill="CCEEFF" w:val="clear"/>
            <w:tcMar>
              <w:bottom w:w="0" w:type="dxa"/>
            </w:tcMar>
            <w:vAlign w:val="center"/>
          </w:tcPr>
          <w:p>
            <w:pPr>
              <w:pStyle w:val="TableContents"/>
              <w:bidi w:val="0"/>
              <w:spacing w:before="0" w:after="283"/>
              <w:jc w:val="left"/>
              <w:rPr>
                <w:sz w:val="20"/>
              </w:rPr>
            </w:pPr>
            <w:r>
              <w:rPr>
                <w:sz w:val="20"/>
              </w:rPr>
              <w:t xml:space="preserve">Director </w:t>
            </w:r>
            <w:r>
              <w:rPr>
                <w:position w:val="7"/>
                <w:sz w:val="16"/>
                <w:sz w:val="20"/>
              </w:rPr>
              <w:t>(1)</w:t>
            </w:r>
          </w:p>
        </w:tc>
      </w:tr>
      <w:tr>
        <w:trPr/>
        <w:tc>
          <w:tcPr>
            <w:tcW w:w="2015" w:type="dxa"/>
            <w:tcBorders/>
            <w:tcMar>
              <w:bottom w:w="0" w:type="dxa"/>
            </w:tcMar>
            <w:vAlign w:val="center"/>
          </w:tcPr>
          <w:p>
            <w:pPr>
              <w:pStyle w:val="TableContents"/>
              <w:bidi w:val="0"/>
              <w:spacing w:before="0" w:after="283"/>
              <w:jc w:val="left"/>
              <w:rPr>
                <w:sz w:val="20"/>
              </w:rPr>
            </w:pPr>
            <w:r>
              <w:rPr>
                <w:sz w:val="20"/>
              </w:rPr>
              <w:t>Justin H. Roberts</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42</w:t>
            </w:r>
          </w:p>
        </w:tc>
        <w:tc>
          <w:tcPr>
            <w:tcW w:w="9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sz w:val="20"/>
              </w:rPr>
            </w:pPr>
            <w:r>
              <w:rPr>
                <w:sz w:val="20"/>
              </w:rPr>
              <w:t xml:space="preserve">Director </w:t>
            </w:r>
            <w:r>
              <w:rPr>
                <w:position w:val="7"/>
                <w:sz w:val="16"/>
                <w:sz w:val="20"/>
              </w:rPr>
              <w:t>(1)(2)</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290"/>
        <w:gridCol w:w="3500"/>
      </w:tblGrid>
      <w:tr>
        <w:trPr/>
        <w:tc>
          <w:tcPr>
            <w:tcW w:w="290" w:type="dxa"/>
            <w:tcBorders/>
            <w:vAlign w:val="center"/>
          </w:tcPr>
          <w:p>
            <w:pPr>
              <w:pStyle w:val="TableContents"/>
              <w:bidi w:val="0"/>
              <w:spacing w:before="0" w:after="283"/>
              <w:jc w:val="left"/>
              <w:rPr>
                <w:sz w:val="20"/>
              </w:rPr>
            </w:pPr>
            <w:r>
              <w:rPr>
                <w:sz w:val="20"/>
              </w:rPr>
              <w:t>(1)</w:t>
            </w:r>
          </w:p>
        </w:tc>
        <w:tc>
          <w:tcPr>
            <w:tcW w:w="3500" w:type="dxa"/>
            <w:tcBorders/>
            <w:vAlign w:val="center"/>
          </w:tcPr>
          <w:p>
            <w:pPr>
              <w:pStyle w:val="TableContents"/>
              <w:bidi w:val="0"/>
              <w:spacing w:before="0" w:after="283"/>
              <w:jc w:val="both"/>
              <w:rPr>
                <w:sz w:val="20"/>
              </w:rPr>
            </w:pPr>
            <w:r>
              <w:rPr>
                <w:sz w:val="20"/>
              </w:rPr>
              <w:t>Member of the Compensation Committee.</w:t>
            </w:r>
          </w:p>
        </w:tc>
      </w:tr>
    </w:tbl>
    <w:p>
      <w:pPr>
        <w:pStyle w:val="TextBody"/>
        <w:bidi w:val="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290"/>
        <w:gridCol w:w="2825"/>
      </w:tblGrid>
      <w:tr>
        <w:trPr/>
        <w:tc>
          <w:tcPr>
            <w:tcW w:w="290" w:type="dxa"/>
            <w:tcBorders/>
            <w:vAlign w:val="center"/>
          </w:tcPr>
          <w:p>
            <w:pPr>
              <w:pStyle w:val="TableContents"/>
              <w:bidi w:val="0"/>
              <w:spacing w:before="0" w:after="283"/>
              <w:jc w:val="left"/>
              <w:rPr>
                <w:sz w:val="20"/>
              </w:rPr>
            </w:pPr>
            <w:r>
              <w:rPr>
                <w:sz w:val="20"/>
              </w:rPr>
              <w:t>(2)</w:t>
            </w:r>
          </w:p>
        </w:tc>
        <w:tc>
          <w:tcPr>
            <w:tcW w:w="2825" w:type="dxa"/>
            <w:tcBorders/>
            <w:vAlign w:val="center"/>
          </w:tcPr>
          <w:p>
            <w:pPr>
              <w:pStyle w:val="TableContents"/>
              <w:bidi w:val="0"/>
              <w:spacing w:before="0" w:after="283"/>
              <w:jc w:val="left"/>
              <w:rPr>
                <w:sz w:val="20"/>
              </w:rPr>
            </w:pPr>
            <w:r>
              <w:rPr>
                <w:sz w:val="20"/>
              </w:rPr>
              <w:t xml:space="preserve">Member of the Audit Committee.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3"/>
        <w:gridCol w:w="90"/>
        <w:gridCol w:w="8832"/>
      </w:tblGrid>
      <w:tr>
        <w:trPr/>
        <w:tc>
          <w:tcPr>
            <w:tcW w:w="1283"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TOMMY G. THOMPSON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of the Board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2012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Age: </w:t>
            </w:r>
            <w:r>
              <w:rPr>
                <w:rFonts w:ascii="Times New Roman;Times;Serif" w:hAnsi="Times New Roman;Times;Serif"/>
                <w:b w:val="false"/>
                <w:i w:val="false"/>
                <w:caps w:val="false"/>
                <w:smallCaps w:val="false"/>
                <w:sz w:val="20"/>
              </w:rPr>
              <w:t>82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w:t>
            </w:r>
          </w:p>
        </w:tc>
        <w:tc>
          <w:tcPr>
            <w:tcW w:w="90" w:type="dxa"/>
            <w:tcBorders/>
            <w:vAlign w:val="center"/>
          </w:tcPr>
          <w:p>
            <w:pPr>
              <w:pStyle w:val="TableContents"/>
              <w:bidi w:val="0"/>
              <w:spacing w:before="0" w:after="283"/>
              <w:jc w:val="left"/>
              <w:rPr/>
            </w:pPr>
            <w:r>
              <w:rPr/>
              <w:t> </w:t>
            </w:r>
          </w:p>
        </w:tc>
        <w:tc>
          <w:tcPr>
            <w:tcW w:w="8832"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Biographical Information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Tommy G. Thompson has served as a director of our company since May 2012 and as the Chairman of the Board of Directors since March 2024. He previously served as the Chairman of the Board of Directors from May 2012 until September 2022 and as Executive Chairman of the Board from September 2022 until March 2024. From July 2020 until March 2022, Secretary Thompson served as the Interim President of the University of Wisconsin system. Secretary Thompson also serves as the Chief Executive Officer of Thompson Holdings, a consulting firm. As the Governor of Wisconsin from January 1987 to February 2001, Secretary Thompson was perhaps best known for his efforts to revitalize the Wisconsin economy, for his national leadership on welfare reform, and for his work toward expanding healthcare access across all segments of society. As the former Secretary of the U.S. Department of Health &amp; Human Services, or HHS, from February 2001 to January 2005, Secretary Thompson served as the nation’s leading advocate for the health and welfare of all Americans. Secretary Thompson was a partner in the law firm of Akin Gump Strauss Hauer &amp; Feld LLP, or Akin Gump, from March 2005 to January 2012, when he resigned to run for the United States Senate. Secretary Thompson served as an Independent Chairman of the Deloitte Center for Health Solutions, a healthcare consulting company, from March 2005 to May 2009. At the Deloitte Center for Health Solutions and at Akin Gump, Secretary Thompson built on his efforts at HHS to work toward developing solutions to the healthcare challenges facing American families, businesses, communities, states, and the nation as a whole. Secretary Thompson has also served as the President of Logistics Health, Inc., a provider of medical readiness and homeland security solutions, from February 2005 to January 2011. Secretary Thompson has served as a Senior Fellow for the Bipartisan Policy Center, a non-profit organization focused on bipartisan advocacy and policymaking, since July 2013. Secretary Thompson also serves as a member of the board of directors for United Therapeutics Corporation [NASDAQ: UTHR] and Healthpeak Properties, Inc. (f/k/a Physicians Realty Trust) [NYSE: DOC]. Secretary Thompson also served as a member of the boards of directors of Tyme Technologies, Inc. [NASDAQ: TYMI] from August 2017 to February 2020, Centene Corporation [NYSE: CNC] from April 2005 to January 2022 and Scilex Holding Company [NASDAQ: SCLX] from 2022 to 2023, and has historically served on the boards of directors of other public companies.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Qualifications and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Secretary Thompson’s experience in public service and on the boards of directors of numerous public companies, particularly his services and knowledge related to the healthcare industry as a whole, makes him well suited to serve on our Board of Directors. Secretary Thompson received both his B.S. and J.D. from the University of Wisconsin-Madison.</w:t>
            </w:r>
          </w:p>
        </w:tc>
      </w:tr>
      <w:tr>
        <w:trPr/>
        <w:tc>
          <w:tcPr>
            <w:tcW w:w="128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32" w:type="dxa"/>
            <w:tcBorders/>
            <w:vAlign w:val="center"/>
          </w:tcPr>
          <w:p>
            <w:pPr>
              <w:pStyle w:val="TableContents"/>
              <w:bidi w:val="0"/>
              <w:spacing w:before="0" w:after="283"/>
              <w:jc w:val="left"/>
              <w:rPr/>
            </w:pPr>
            <w:r>
              <w:rPr/>
              <w:t> </w:t>
            </w:r>
          </w:p>
        </w:tc>
      </w:tr>
      <w:tr>
        <w:trPr/>
        <w:tc>
          <w:tcPr>
            <w:tcW w:w="1283"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COOPER C. COLLINS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2012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Age: </w:t>
            </w:r>
            <w:r>
              <w:rPr>
                <w:rFonts w:ascii="Times New Roman;Times;Serif" w:hAnsi="Times New Roman;Times;Serif"/>
                <w:b w:val="false"/>
                <w:i w:val="false"/>
                <w:caps w:val="false"/>
                <w:smallCaps w:val="false"/>
                <w:sz w:val="20"/>
              </w:rPr>
              <w:t>45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w:t>
            </w:r>
          </w:p>
        </w:tc>
        <w:tc>
          <w:tcPr>
            <w:tcW w:w="90" w:type="dxa"/>
            <w:tcBorders/>
            <w:vAlign w:val="center"/>
          </w:tcPr>
          <w:p>
            <w:pPr>
              <w:pStyle w:val="TableContents"/>
              <w:bidi w:val="0"/>
              <w:spacing w:before="0" w:after="283"/>
              <w:jc w:val="left"/>
              <w:rPr/>
            </w:pPr>
            <w:r>
              <w:rPr/>
              <w:t> </w:t>
            </w:r>
          </w:p>
        </w:tc>
        <w:tc>
          <w:tcPr>
            <w:tcW w:w="8832"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Biographical Information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 C. Collins has served as a director of our company since February 2012. Mr. Collins has served as Chief Executive Officer of Fortis BioPharma LLC since June 2015. Mr. Collins served as Chief Strategy Officer of Pernix Therapeutics Holdings, Inc. [NASDAQ: PTX], or Pernix, from May 2013 until April 2014, as its President and Chief Executive Officer from March 2010 until May 2013, and as a director from March 2010 until February 2014. Mr. Collins joined Pernix Therapeutics, Inc., a predecessor of Pernix, in 2002, where he was appointed as a director in January 2007, its President in December 2007 and its Chief Executive Officer in June 2008, serving in those three capacities until March 2010. From December 2005 to December 2007, Mr. Collins served as Vice President of Business and Product Development of Pernix Therapeutics, Inc. and as its Territory Manager from December 2003 to December 2005. Mr. Collins was employed for three years by the National Football League franchise, the New Orleans Saints, in its media relations department.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Qualifications and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Collins’ specialty pharmaceutical company knowledge and executive experience provide the requisite qualifications, skills, perspectives, and experience that make him well qualified to serve on our Board of Directors. While on a football scholarship, Mr. Collins received a B.A. from Nicholls State University, where he later received an M.B.A.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5"/>
        <w:gridCol w:w="90"/>
        <w:gridCol w:w="8830"/>
      </w:tblGrid>
      <w:tr>
        <w:trPr/>
        <w:tc>
          <w:tcPr>
            <w:tcW w:w="128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GAIL K. NAUGHTON,</w:t>
              <w:br/>
              <w:t xml:space="preserve">PH.D.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2020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Age: </w:t>
            </w:r>
            <w:r>
              <w:rPr>
                <w:rFonts w:ascii="Times New Roman;Times;Serif" w:hAnsi="Times New Roman;Times;Serif"/>
                <w:b w:val="false"/>
                <w:i w:val="false"/>
                <w:caps w:val="false"/>
                <w:smallCaps w:val="false"/>
                <w:sz w:val="20"/>
              </w:rPr>
              <w:t>69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w:t>
            </w:r>
          </w:p>
        </w:tc>
        <w:tc>
          <w:tcPr>
            <w:tcW w:w="90" w:type="dxa"/>
            <w:tcBorders/>
            <w:vAlign w:val="center"/>
          </w:tcPr>
          <w:p>
            <w:pPr>
              <w:pStyle w:val="TableContents"/>
              <w:bidi w:val="0"/>
              <w:spacing w:before="0" w:after="283"/>
              <w:jc w:val="left"/>
              <w:rPr/>
            </w:pPr>
            <w:r>
              <w:rPr/>
              <w:t> </w:t>
            </w:r>
          </w:p>
        </w:tc>
        <w:tc>
          <w:tcPr>
            <w:tcW w:w="883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Biographical Information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Gail K. Naughton, Ph.D. has served as a director of our company since March 2020. Dr. Naughton has served as the Chief Scientific Officer and Chief Business Development Officer of Histogen, a company she founded which is focused on the development of novel solutions based on the products of cells grown under simulated embryonic conditions, since April 2017. Dr. Naughton served as the Chairman and Chief Executive Officer of Histogen from June 2007 until April 2017. Prior to Histogen, Dr. Naughton was the Vice Chairman of Advanced Tissue Sciences, Inc., a human-based tissue engineering company, from March 2002 to October 2002, President from August 2000 to March 2002, President and Chief Operating Officer from 1995 to 2000 and Executive Vice President, Chief Operating Officer from 1991 to 1995. Dr. Naughton also served as Dean of the College of Business Administration at San Diego State University from August 2002 to June 2011. She has spent over 30 years extensively researching the tissue engineering process, holds over 105 U.S. and foreign patents, and has founded two regenerative medicine companies. Dr. Naughton has brought several tissue engineered products to market including a product for severe burns (TransCyte), a dermal replacement for diabetic ulcers (Dermagraft), an aesthetic dermal filler (Cosmederm/Cosmeplast), and SkinMedica’s TNS product for skin care. Dr. Naughton has been extensively published and a frequent speaker in the field of tissue engineering. In 2000, Dr. Naughton received the 27th Annual National Inventor of the Year award by the Intellectual Property Owners Association in honor of her pioneering work in the field of tissue engineering. Dr. Naughton previously served as a member of several public company boards of directors since 1988, including Cytori Therapeutics, Inc. [NASDAQ: CYTX] from July 2014 until January 2018 and CEL-SCI Corporation [NYSE American: CVM] from August 2022 until April 2024.</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Qualifications and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Dr. Naughton’s extensive executive experience, her in-depth knowledge of the healthcare industry and regenerative medicine technology, her experience developing FDA-approved products, and her service on other public company boards and committees, provide the requisite qualifications, skills, perspectives, and experience that make her well qualified to serve on our Board of Directors. Dr. Naughton received her B.S. in Biology from St. Francis College, her M.S. in Histology and her Ph.D. in Hematology from the New York University Medical Center and her E.M.B.A. from UCLA.</w:t>
            </w:r>
          </w:p>
        </w:tc>
      </w:tr>
      <w:tr>
        <w:trPr/>
        <w:tc>
          <w:tcPr>
            <w:tcW w:w="1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30" w:type="dxa"/>
            <w:tcBorders/>
            <w:vAlign w:val="center"/>
          </w:tcPr>
          <w:p>
            <w:pPr>
              <w:pStyle w:val="TableContents"/>
              <w:bidi w:val="0"/>
              <w:spacing w:before="0" w:after="283"/>
              <w:jc w:val="left"/>
              <w:rPr/>
            </w:pPr>
            <w:r>
              <w:rPr/>
              <w:t> </w:t>
            </w:r>
          </w:p>
        </w:tc>
      </w:tr>
      <w:tr>
        <w:trPr/>
        <w:tc>
          <w:tcPr>
            <w:tcW w:w="128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JUSTIN ROBERTS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2022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Age: </w:t>
            </w:r>
            <w:r>
              <w:rPr>
                <w:rFonts w:ascii="Times New Roman;Times;Serif" w:hAnsi="Times New Roman;Times;Serif"/>
                <w:b w:val="false"/>
                <w:i w:val="false"/>
                <w:caps w:val="false"/>
                <w:smallCaps w:val="false"/>
                <w:sz w:val="20"/>
              </w:rPr>
              <w:t>42</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w:t>
            </w:r>
          </w:p>
        </w:tc>
        <w:tc>
          <w:tcPr>
            <w:tcW w:w="90" w:type="dxa"/>
            <w:tcBorders/>
            <w:vAlign w:val="center"/>
          </w:tcPr>
          <w:p>
            <w:pPr>
              <w:pStyle w:val="TableContents"/>
              <w:bidi w:val="0"/>
              <w:spacing w:before="0" w:after="283"/>
              <w:jc w:val="left"/>
              <w:rPr/>
            </w:pPr>
            <w:r>
              <w:rPr/>
              <w:t> </w:t>
            </w:r>
          </w:p>
        </w:tc>
        <w:tc>
          <w:tcPr>
            <w:tcW w:w="883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Biographical Information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Roberts is a Partner at Rubric Capital Management LP, a role he has held since the formation of the company in 2016. He currently serves as a Non-Executive Director of Mereo BioPharma Group plc [NASDAQ: MREO]. Before Rubric he spent seven years at Point72 Asset Management. Mr. Roberts has also held roles at ZS Associates, Moore Capital Management, and began his career at Lehman Brothers as an investment banker in their M&amp;A practice.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Qualifications and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Roberts’ extensive executive experience, his finance background, and his service on other public company boards and committees, provide the requisite qualifications, skills, perspectives, and experience that make him well qualified to serve on our Board of Directors. Mr. Roberts graduated with honors from Johns Hopkins University.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Executive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our current executive officers:</w:t>
      </w:r>
    </w:p>
    <w:p>
      <w:pPr>
        <w:pStyle w:val="TextBody"/>
        <w:bidi w:val="0"/>
        <w:spacing w:before="0" w:after="0"/>
        <w:ind w:left="0" w:right="0" w:hanging="0"/>
        <w:jc w:val="left"/>
        <w:rPr>
          <w:caps w:val="false"/>
          <w:smallCaps w:val="false"/>
        </w:rPr>
      </w:pPr>
      <w:r>
        <w:rPr>
          <w:caps w:val="false"/>
          <w:smallCaps w:val="false"/>
        </w:rPr>
        <w:t> </w:t>
      </w:r>
    </w:p>
    <w:tbl>
      <w:tblPr>
        <w:tblW w:w="5655" w:type="dxa"/>
        <w:jc w:val="left"/>
        <w:tblInd w:w="0" w:type="dxa"/>
        <w:tblLayout w:type="fixed"/>
        <w:tblCellMar>
          <w:top w:w="0" w:type="dxa"/>
          <w:left w:w="0" w:type="dxa"/>
          <w:bottom w:w="28" w:type="dxa"/>
          <w:right w:w="0" w:type="dxa"/>
        </w:tblCellMar>
      </w:tblPr>
      <w:tblGrid>
        <w:gridCol w:w="1505"/>
        <w:gridCol w:w="90"/>
        <w:gridCol w:w="380"/>
        <w:gridCol w:w="90"/>
        <w:gridCol w:w="3590"/>
      </w:tblGrid>
      <w:tr>
        <w:trPr/>
        <w:tc>
          <w:tcPr>
            <w:tcW w:w="1505"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b/>
                <w:sz w:val="20"/>
              </w:rPr>
            </w:pPr>
            <w:r>
              <w:rPr>
                <w:b/>
                <w:sz w:val="20"/>
              </w:rPr>
              <w:t>Age</w:t>
            </w:r>
          </w:p>
        </w:tc>
        <w:tc>
          <w:tcPr>
            <w:tcW w:w="9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283"/>
              <w:jc w:val="center"/>
              <w:rPr>
                <w:b/>
                <w:sz w:val="20"/>
              </w:rPr>
            </w:pPr>
            <w:r>
              <w:rPr>
                <w:b/>
                <w:sz w:val="20"/>
              </w:rPr>
              <w:t>Position</w:t>
            </w:r>
          </w:p>
        </w:tc>
      </w:tr>
      <w:tr>
        <w:trPr/>
        <w:tc>
          <w:tcPr>
            <w:tcW w:w="1505" w:type="dxa"/>
            <w:tcBorders/>
            <w:shd w:fill="CCEEFF" w:val="clear"/>
            <w:tcMar>
              <w:bottom w:w="0" w:type="dxa"/>
            </w:tcMar>
            <w:vAlign w:val="center"/>
          </w:tcPr>
          <w:p>
            <w:pPr>
              <w:pStyle w:val="TableContents"/>
              <w:bidi w:val="0"/>
              <w:spacing w:before="0" w:after="283"/>
              <w:jc w:val="left"/>
              <w:rPr>
                <w:sz w:val="20"/>
              </w:rPr>
            </w:pPr>
            <w:r>
              <w:rPr>
                <w:sz w:val="20"/>
              </w:rPr>
              <w:t>Marlan D. Walker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90" w:type="dxa"/>
            <w:tcBorders/>
            <w:shd w:fill="CCEEFF" w:val="clear"/>
            <w:tcMar>
              <w:bottom w:w="0" w:type="dxa"/>
            </w:tcMar>
            <w:vAlign w:val="center"/>
          </w:tcPr>
          <w:p>
            <w:pPr>
              <w:pStyle w:val="TableContents"/>
              <w:bidi w:val="0"/>
              <w:spacing w:before="0" w:after="283"/>
              <w:jc w:val="left"/>
              <w:rPr>
                <w:sz w:val="20"/>
              </w:rPr>
            </w:pPr>
            <w:r>
              <w:rPr>
                <w:sz w:val="20"/>
              </w:rPr>
              <w:t>Chief Executive Officer</w:t>
            </w:r>
          </w:p>
        </w:tc>
      </w:tr>
      <w:tr>
        <w:trPr/>
        <w:tc>
          <w:tcPr>
            <w:tcW w:w="1505" w:type="dxa"/>
            <w:tcBorders/>
            <w:tcMar>
              <w:bottom w:w="0" w:type="dxa"/>
            </w:tcMar>
            <w:vAlign w:val="center"/>
          </w:tcPr>
          <w:p>
            <w:pPr>
              <w:pStyle w:val="TableContents"/>
              <w:bidi w:val="0"/>
              <w:spacing w:before="0" w:after="283"/>
              <w:jc w:val="left"/>
              <w:rPr>
                <w:sz w:val="20"/>
              </w:rPr>
            </w:pPr>
            <w:r>
              <w:rPr>
                <w:sz w:val="20"/>
              </w:rPr>
              <w:t>Joseph Ziegler</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51</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sz w:val="20"/>
              </w:rPr>
            </w:pPr>
            <w:r>
              <w:rPr>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Listed below are biographical descriptions of our current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Marlan Walker</w:t>
      </w:r>
      <w:r>
        <w:rPr>
          <w:rFonts w:ascii="Times New Roman;Times;Serif" w:hAnsi="Times New Roman;Times;Serif"/>
          <w:b w:val="false"/>
          <w:i w:val="false"/>
          <w:caps w:val="false"/>
          <w:smallCaps w:val="false"/>
          <w:sz w:val="20"/>
        </w:rPr>
        <w:t xml:space="preserve"> has served as Chief Executive Officer of our company since December 2022. Previously he served as General Counsel of our company from March 2016. Mr. Walker previously also served as Chief Development Officer from April 2018 to December 2019 and as our Corporate and Intellectual Property Counsel from June 2013 until he became our General Counsel. Mr. Walker’s experience is focused in management of legal issues and risk in the life science industries across a variety of disciplines. His legal practice prior to his time at TherapeuticsMD included long-term portfolio strategy and management, patent preparation and prosecution, contract negotiation and drafting, life-cycle management, and Hatch-Waxman matters. After law school, he took a position at Greenberg Traurig, LLP in August 2005. In March of 2009, he moved to Luce Forward Hamilton &amp; Scripps. Mr. Walker accepted an in-house position as Intellectual Property Counsel for Medicis Pharmaceutical Corp. in June 2011, which was acquired by Valeant Pharmaceutical International, Inc. in December 2012. In February 2013, Mr. Walker accepted a position at Kilpatrick Townsend &amp; Stockton, but chose to move in-house again in June 2013, when he accepted a position at our company. Mr. Walker graduated from Arizona State University Sandra Day O’Connor College of Law with his J.D. in 2004, and an LL.M. in Intellectual Property Law at The George Washington University Law School in 2005. He holds a Master’s Degree in Molecular Biology and a B.S. degree, both earned from Brigham Young University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Joseph Ziegler</w:t>
      </w:r>
      <w:r>
        <w:rPr>
          <w:rFonts w:ascii="Times New Roman;Times;Serif" w:hAnsi="Times New Roman;Times;Serif"/>
          <w:b w:val="false"/>
          <w:i w:val="false"/>
          <w:caps w:val="false"/>
          <w:smallCaps w:val="false"/>
          <w:sz w:val="20"/>
        </w:rPr>
        <w:t xml:space="preserve"> has served as Principal Financial and Accounting Officer of our company since August 2023 and has served as founder and chief executive officer of JZ Advisory Group, a consulting company largely focused on providing fractional CFO and outsourced accounting services to middle-market and entrepreneurial businesses, since January 2022. He previously served as the Chief Financial Officer of DAS Health, a private equity owned provider of IT Services to healthcare providers, from April 2021 to December 2021 and as the Chief Financial Officer of Encompass Onsite, a provider of end-to-end property solutions, from November 2018 to February 2021. Prior to joining Encompass, he held multiple roles as a CFO in the healthcare industry, including private equity backed specialty pharmacy Biomatrix and Novis Pharmaceuticals. Mr. Ziegler served as a director of Progressive Care Inc. from December 2021 until December 2024. He earned his B.S. in Finance and an M.B.A. from Florida Atlantic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CORPORATE GOVERNANCE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Independence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October 9, 2017, our common stock has been listed on the Nasdaq Global Select Market of the Nasdaq Stock Market LLC, or Nasdaq, under the symbol “TXMD.” From April 23, 2013 to October 6, 2017, our common stock was listed on the NYSE American under the symbol “TXMD.” Under the rules of Nasdaq, independent directors must comprise a majority of a listed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affirmatively determined, after considering all the relevant facts and circumstances, that each of Dr. Gail Naughton, and Messrs. Tommy G. Thompson, Cooper C. Collins and Justin Roberts is an independent director, as “independence” is defined under the applicable rules and regulations of the SEC and the listing standards of Nasdaq, and does not have a relationship with us (either directly or as a partner, stockholder, or officer of an organization that has a relationship with us) that would interfere with their exercise of independent judgment in carrying out their responsibilities as directors. Accordingly, a majority of our directors are independent, as required under the applicable Nasdaq rules. There are no family relationships among any of our directors or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Committee Charters, Corporate Governance, and Code of Ethics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has adopted charters for the Audit and Compensation Committees describing the authority and responsibilities delegated to each committee by our Board of Directors. Our Board of Directors has also adopted Corporate Governance Guidelines, a Code of Conduct and Ethics, and a Code of Ethics for the Chief Executive Officer and senior financial officers of our company. We post on our website, at </w:t>
      </w:r>
      <w:r>
        <w:rPr>
          <w:rFonts w:ascii="Times New Roman;Times;Serif" w:hAnsi="Times New Roman;Times;Serif"/>
          <w:b w:val="false"/>
          <w:i/>
          <w:caps w:val="false"/>
          <w:smallCaps w:val="false"/>
          <w:sz w:val="20"/>
        </w:rPr>
        <w:t>www.therapeuticsmd.com</w:t>
      </w:r>
      <w:r>
        <w:rPr>
          <w:rFonts w:ascii="Times New Roman;Times;Serif" w:hAnsi="Times New Roman;Times;Serif"/>
          <w:b w:val="false"/>
          <w:i w:val="false"/>
          <w:caps w:val="false"/>
          <w:smallCaps w:val="false"/>
          <w:sz w:val="20"/>
        </w:rPr>
        <w:t>, the charters of our Audit and Compensation Committees; our Corporate Governance Guidelines, Code of Conduct and Ethics, and Code of Ethics for the Chief Executive Officer and senior financial officers, and any amendments or waivers thereto; and any other corporate governance materials contemplated by the SEC or Nasdaq. These documents are also available in print to any stockholder requesting a copy in writing from our corporate secretary at our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Executive Sessions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schedule executive sessions in which non-employee directors will meet without the presence or participation of management, with at least one of such sessions including only independent directors. Mr. Thompson, as the Chairman of our Board of Directors, chairs the executive 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Committees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an Audit Committee and a Compensation Committee, each consisting entirely of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relatively small size of our Board of Directors and the desire to involve the entire Board of Directors in nominating decisions, we have elected to no longer have a separate Nominating Committee. Since we do not have a Nominating Committee, our independent directors, who currently constitute all of the Board of Directors, determine the director nominees. Our Board of Directors may employ a variety of methods for identifying and evaluating director nominees. If vacancies are anticipated or arise, our Board of Directors considers various potential candidates who may come to their attention through current Board members, professional search firms, stockholders or other persons. These candidates may be evaluated by our Board of Directors at any time during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a director candidate, our Board of Directors will review their qualifications including capability, availability to serve, conflicts of interest, general understanding of business, understanding of our business and technology, educational and professional background, personal accomplishments and other relevant factors. Our Board of Directors has not established any specific qualification standards for director nominees, and we do not have a formal diversity policy relating to the identification and evaluation of nominees for director, although from time to time the Board of Directors may identify certain skills or attributes as being particularly desirable to help meet specific needs that have arisen. Our Board of Directors may also interview prospective nominees in person or by telephone. After completing this evaluation, the Board of Directors will determine the nominees. The Board has not adopted a formal process for considering director candidates who may be recommended by stockholders. However, our policy is to give due consideration to any and all such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2"/>
        <w:gridCol w:w="90"/>
        <w:gridCol w:w="9083"/>
      </w:tblGrid>
      <w:tr>
        <w:trPr/>
        <w:tc>
          <w:tcPr>
            <w:tcW w:w="1032"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 C. Collins, Chair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 Roberts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Tommy G. Thompson</w:t>
            </w:r>
          </w:p>
        </w:tc>
        <w:tc>
          <w:tcPr>
            <w:tcW w:w="90"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Audit Committee is to oversee our financial and reporting processes and the audits of our financial statements and to provide assistance to our Board of Directors with respect to its oversight of the integrity of our financial statements, our company’s compliance with legal and regulatory matters, the independent registered public accountant’s qualifications and independence, and the performance of our independent registered public accountant. The primary responsibilities of the Audit Committee are set forth in its charter and include various matters with respect to the oversight of our accounting and financial reporting process and audits of our financial statements on behalf of our Board of Directors. The Audit Committee also selects the independent registered public accountant to conduct the annual audit of our financial statements; reviews the proposed scope of such audit; reviews accounting and financial controls with the independent registered public accountant and our financial accounting staff; and reviews and approves any transactions between us and our directors, officers, and their affiliates.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currently consists of Messrs. Collins, Thompson and Roberts, each an independent director of our company under the listing standards of Nasdaq as well as under applicable rules and regulations of the SEC, with Mr. Collins serving as Chair. Our Board of Directors has determined that Mr. Thompson (whose background is detailed above) qualifies as an “audit committee financial expert” in accordance with applicable rules and regulations of the SEC.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7"/>
        <w:gridCol w:w="90"/>
        <w:gridCol w:w="9088"/>
      </w:tblGrid>
      <w:tr>
        <w:trPr/>
        <w:tc>
          <w:tcPr>
            <w:tcW w:w="1027"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Gail Naughton, Chair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 C. Collins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 Roberts</w:t>
            </w:r>
          </w:p>
        </w:tc>
        <w:tc>
          <w:tcPr>
            <w:tcW w:w="90"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sz w:val="20"/>
              </w:rPr>
            </w:pPr>
            <w:r>
              <w:rPr>
                <w:sz w:val="20"/>
              </w:rPr>
              <w:t>The purpose of the Compensation Committee includes, among other things, determining, or recommending to our Board of Directors for determination, the compensation of our Chief Executive Officer and other executive officers and directors, and discharging the responsibilities of our Board of Directors relating to our compensation programs. Pursuant to its charter, the Compensation Committee may delegate any of its responsibilities to a subcommittee comprised of one or more members of the Compensation Committee. The Compensation Committee currently consists of Dr. Naughton and Messrs. Collins and Roberts, each an independent director of our company under the listing standards of Nasdaq as well as under applicable rules and regulations of the SEC, with Dr. Naughton serving as Chair.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Board’s Role in Risk Oversight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is inherent in every business. As is the case in virtually all businesses, we face a number of risks, including operational, economic, financial, legal, regulatory, and competitive risks. Our management is responsible for the day-to-day management of the risks we face. Our Board of Directors, as a whole and through its committees, has responsibility for the oversight of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involvement in our business strategy and strategic plans plays a key role in its oversight of risk management, its assessment of management’s risk appetite, and its determination of the appropriate level of enterprise risk. Our Board of Directors receives updates at least quarterly from senior management and periodically from outside advisors regarding the various risks we face, including operational, cybersecurity and information technology, economic, financial, legal, regulatory, and competitive risks. Our Board of Directors also reviews the various risks we identify in our filings with the SEC as well as risks relating to various specific developments, such as debt and equity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committees of our Board of Directors assist our Board of Directors in fulfilling its oversight role in certain areas of risks. The Audit Committee oversees the financial and reporting processes of our company and the audit of the financial statements of our company and provides assistance to our Board of Directors with respect to the oversight and integrity of the financial statements of our company, our company’s compliance with legal and regulatory matters, the independent auditor’s qualification and independence, and the performance of our independent auditor. The Audit Committee also receives reports regarding our compliance program and our cybersecurity and information technology programs. The Compensation Committee considers the risks that our compensation policies and practices may have in attracting, retaining, and motivating valued employees and endeavors to assure that it is not reasonably likely that our compensation plans and policies would create undue risk or have a material adverse effect on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Attributes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diversity in experience, viewpoint, education, skill, and other individual qualities and attributes to be represented on our Board of Directors. We believe directors should have various qualifications, including individual character and integrity; business experience and leadership ability; strategic planning skills, ability, and experience; requisite knowledge of our industry and finance, accounting, and legal matters; communications and interpersonal skills; and the ability and willingness to devote time to our company. We also believe the skill sets, backgrounds, and qualifications of our directors, taken as a whole, should provide a significant mix of personal and professional experience, background, viewpoints, perspectives, knowledge, and abilities. Nominees are not to be discriminated against on the basis of race, religion, national origin, sex, sexual orientation, disability, or any other basis prohibited by law. The assessment of directors is made in the context of the perceived needs of our Board of Directors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have held high-level positions in business or professional service firms and have experience in dealing with complex issues. We believe that all of our directors are individuals of high character and integrity, are able to work well with others, and have committed to devote sufficient time to the business and affairs of our company. In addition to these attributes, the description of each director’s background sets forth above indicates the specific experience, qualifications, and skills necessary to conclude that each individual should continue to serve as a director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Leadership Structure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effective board leadership structure depends on the experience, skills, and personal interaction among persons in leadership roles as well as the needs of our company at any point in time. We currently maintain separate roles between the Chief Executive Officer and the Chairman of the Board of Directors in recognition of the differences between the two responsibilities. Our Chief Executive Officer is responsible for setting our strategic direction and day-to-day leadership and performance of our company. The Chairman of the Board of Directors provides input to the Chief Executive Officer, sets the agenda for board meetings, and presides over meetings of the full Board of Directors as well as executive sessions of our Board of Directors. Our Board of Directors believes that our current leadership structure provides the most effective leadership model for our company, as it promotes balance between the Board of Directors’ independent authority to oversee our business and the Chief Executive Officer and his management team, which manage the business on a day-to-day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Compensation Recovery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we adopted a policy on recoupment of incentive compensation, or clawback policy, which provides for recoupment of compensation in certain circumstances in the event of a restatement of our financial results, in accordance with the requirements of SEC rules and Nasdaq listing standards implementing the requirement of Section 954 of the Dodd-Frank Wall Street Reform and Consumer Protection Act of 2010 (the “Dodd-Frank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insider trading policy that governs transactions in our securities by our directors, officers, employees and their respective family members and affiliates that that we believe is reasonably designed to promote compliance with insider trading laws, rules and regulations, and applicable Nasdaq listing standards. In addition, it is our policy to comply with Federal securities laws and applicable stock exchange listing standards regarding trading in our own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Anti-Hedging and Anti-Pledging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2020, the Board of Directors amended the Company’s Code of Conduct and Ethics to include a policy regarding hedging and pledging transactions. Pursuant to the policy, directors, officers, and employees are prohibited from: (1) directly or indirectly engaging in any hedging transactions with respect to any directly or indirectly owned securities of the company, which includes the purchase of any financial instrument (including puts, calls, equity swaps, forward contracts, collars, exchange funds or other derivative securities) on an exchange or in any other market in order to hedge or offset any decrease in the market value of such securities; (2) engaging in short sale transactions or forward sale transactions or any short-term or speculative transactions in the company’s securities or in other transactions in the company’s securities that may lead to inadvertent violations of insider trading laws; and (3) pledging securities of the company as collateral for a loan or otherwise using securities of the company to secure a debt, including through the use of traditional margin accounts with a broker.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and Committee Meetings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held a total of seven meetings during the fiscal year ended December 31, 2024. No director attended fewer than 75% of the aggregate of (i) the total number of meetings of our Board of Directors and (ii) the total number of meetings held by all committees of our Board of Directors on which such director was a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December 31, 2024, the Audit Committee held five meetings and the Compensation Committee held zero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Annual Meeting Attendance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our directors to attend each annual meeting of stockholders. Two of our directors virtually attended the 2024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Communications with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communicate with our Board of Directors or specific members of our Board of Directors, including our independent directors and the members of our various board committees, by submitting a letter addressed to our Board of Directors of TherapeuticsMD, Inc. at the address set forth in this annual report c/o any specified individual director or directors. Any such letters are forwarded to the indicated directors. In addition, at the request of the Board of Directors, communications that do not directly relate to our Board of Directors’ duties and responsibilities as directors will be excluded from distribution. Such excluded items include, among others, “spam,” advertisements, mass mailings, form letters, and email campaigns that involve unduly large numbers of similar communications; solicitations for goods, services, employment or contributions; and surveys. Additionally, communications that appear to be unduly hostile, intimidating, threatening, illegal or similarly inappropriate will also be screened for omission. Any excluded communication will be made available to any director upon his or her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 xml:space="preserve">Item 11. Executive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the rules of the U.S. Securities and Exchange Commission permit us to omit the Compensation Discussion and Analysis section and to report the compensation of our principal executive officer, each of our two other most highly compensated executive officers who were serving at the end of our last completed fiscal year, and up to two additional former executive officers for whom disclosure would have been provided but for the fact that the individual was not serving as an executive officer at the end of our last completed fiscal year (collectively, our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2024, our NEOs were:</w:t>
      </w:r>
    </w:p>
    <w:p>
      <w:pPr>
        <w:pStyle w:val="TextBody"/>
        <w:bidi w:val="0"/>
        <w:spacing w:before="0" w:after="0"/>
        <w:ind w:left="0" w:right="0" w:hanging="0"/>
        <w:jc w:val="left"/>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68"/>
        <w:gridCol w:w="200"/>
        <w:gridCol w:w="17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283"/>
              <w:jc w:val="both"/>
              <w:rPr>
                <w:sz w:val="20"/>
              </w:rPr>
            </w:pPr>
            <w:r>
              <w:rPr>
                <w:sz w:val="20"/>
              </w:rPr>
              <w:t>Marlan Walker, CEO</w:t>
            </w:r>
          </w:p>
        </w:tc>
      </w:tr>
    </w:tbl>
    <w:p>
      <w:pPr>
        <w:pStyle w:val="TextBody"/>
        <w:bidi w:val="0"/>
        <w:spacing w:before="0" w:after="0"/>
        <w:ind w:left="0" w:right="0" w:hanging="0"/>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68"/>
        <w:gridCol w:w="200"/>
        <w:gridCol w:w="48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sz w:val="20"/>
              </w:rPr>
            </w:pPr>
            <w:r>
              <w:rPr>
                <w:sz w:val="20"/>
              </w:rPr>
              <w:t>Joseph Ziegler,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employed one full-time employee primarily engaged in an executive position- Mr. Marlan Walker, our Chief Executive Officer. Mr. Ziegler serves as our Principal Financial and Accounting Officer pursuant to a master services agreement (the “Master Services Agreement”) with JZ Advisory Group (“JZ Advisory”). See “Ziegler Master Services Agreement”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Fiscal Year 2024 Summary Compensation Table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lists the compensation of our NEOs for the years provided. The following information includes the dollar value of salaries, bonus awards, the number of awards granted, non-equity incentive plan compensation, and certain other compensation, if any.</w:t>
      </w:r>
    </w:p>
    <w:p>
      <w:pPr>
        <w:pStyle w:val="TextBody"/>
        <w:bidi w:val="0"/>
        <w:spacing w:before="0" w:after="0"/>
        <w:ind w:left="0" w:right="0" w:hanging="0"/>
        <w:jc w:val="left"/>
        <w:rPr>
          <w:caps w:val="false"/>
          <w:smallCaps w:val="false"/>
        </w:rPr>
      </w:pPr>
      <w:r>
        <w:rPr>
          <w:caps w:val="false"/>
          <w:smallCaps w:val="false"/>
        </w:rPr>
        <w:t> </w:t>
      </w:r>
    </w:p>
    <w:tbl>
      <w:tblPr>
        <w:tblW w:w="11195" w:type="dxa"/>
        <w:jc w:val="left"/>
        <w:tblInd w:w="0" w:type="dxa"/>
        <w:tblLayout w:type="fixed"/>
        <w:tblCellMar>
          <w:top w:w="0" w:type="dxa"/>
          <w:left w:w="0" w:type="dxa"/>
          <w:bottom w:w="28" w:type="dxa"/>
          <w:right w:w="0" w:type="dxa"/>
        </w:tblCellMar>
      </w:tblPr>
      <w:tblGrid>
        <w:gridCol w:w="1175"/>
        <w:gridCol w:w="90"/>
        <w:gridCol w:w="560"/>
        <w:gridCol w:w="90"/>
        <w:gridCol w:w="90"/>
        <w:gridCol w:w="830"/>
        <w:gridCol w:w="215"/>
        <w:gridCol w:w="90"/>
        <w:gridCol w:w="90"/>
        <w:gridCol w:w="830"/>
        <w:gridCol w:w="215"/>
        <w:gridCol w:w="90"/>
        <w:gridCol w:w="90"/>
        <w:gridCol w:w="830"/>
        <w:gridCol w:w="215"/>
        <w:gridCol w:w="90"/>
        <w:gridCol w:w="360"/>
        <w:gridCol w:w="500"/>
        <w:gridCol w:w="90"/>
        <w:gridCol w:w="90"/>
        <w:gridCol w:w="129"/>
        <w:gridCol w:w="1196"/>
        <w:gridCol w:w="90"/>
        <w:gridCol w:w="90"/>
        <w:gridCol w:w="201"/>
        <w:gridCol w:w="1319"/>
        <w:gridCol w:w="215"/>
        <w:gridCol w:w="90"/>
        <w:gridCol w:w="90"/>
        <w:gridCol w:w="1010"/>
        <w:gridCol w:w="135"/>
      </w:tblGrid>
      <w:tr>
        <w:trPr/>
        <w:tc>
          <w:tcPr>
            <w:tcW w:w="1175" w:type="dxa"/>
            <w:tcBorders>
              <w:bottom w:val="single" w:sz="12" w:space="0" w:color="000000"/>
            </w:tcBorders>
            <w:vAlign w:val="center"/>
          </w:tcPr>
          <w:p>
            <w:pPr>
              <w:pStyle w:val="TableContents"/>
              <w:bidi w:val="0"/>
              <w:spacing w:before="0" w:after="283"/>
              <w:ind w:left="0" w:right="0" w:hanging="180"/>
              <w:jc w:val="left"/>
              <w:rPr>
                <w:b/>
              </w:rPr>
            </w:pPr>
            <w:r>
              <w:rPr>
                <w:b/>
              </w:rPr>
              <w:t>Name and Principal Position</w:t>
            </w:r>
          </w:p>
        </w:tc>
        <w:tc>
          <w:tcPr>
            <w:tcW w:w="90" w:type="dxa"/>
            <w:tcBorders/>
            <w:tcMar>
              <w:bottom w:w="0" w:type="dxa"/>
            </w:tcMar>
            <w:vAlign w:val="center"/>
          </w:tcPr>
          <w:p>
            <w:pPr>
              <w:pStyle w:val="TableContents"/>
              <w:bidi w:val="0"/>
              <w:spacing w:before="0" w:after="283"/>
              <w:jc w:val="left"/>
              <w:rPr/>
            </w:pPr>
            <w:r>
              <w:rPr/>
              <w:t> </w:t>
            </w:r>
          </w:p>
        </w:tc>
        <w:tc>
          <w:tcPr>
            <w:tcW w:w="560" w:type="dxa"/>
            <w:tcBorders>
              <w:bottom w:val="single" w:sz="12" w:space="0" w:color="000000"/>
            </w:tcBorders>
            <w:vAlign w:val="center"/>
          </w:tcPr>
          <w:p>
            <w:pPr>
              <w:pStyle w:val="TableContents"/>
              <w:bidi w:val="0"/>
              <w:spacing w:before="0" w:after="283"/>
              <w:jc w:val="center"/>
              <w:rPr>
                <w:b/>
              </w:rPr>
            </w:pPr>
            <w:r>
              <w:rPr>
                <w:b/>
              </w:rPr>
              <w:t>Year</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Salary</w:t>
            </w:r>
          </w:p>
        </w:tc>
        <w:tc>
          <w:tcPr>
            <w:tcW w:w="2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Bonus</w:t>
              <w:br/>
              <w:t>($)</w:t>
            </w:r>
          </w:p>
        </w:tc>
        <w:tc>
          <w:tcPr>
            <w:tcW w:w="2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br/>
              <w:t>Awards</w:t>
            </w:r>
            <w:r>
              <w:rPr>
                <w:rFonts w:ascii="Times New Roman;Times;Serif" w:hAnsi="Times New Roman;Times;Serif"/>
                <w:b/>
                <w:i w:val="false"/>
                <w:caps w:val="false"/>
                <w:smallCaps w:val="false"/>
                <w:position w:val="7"/>
                <w:sz w:val="16"/>
                <w:sz w:val="20"/>
              </w:rPr>
              <w:t>(1)</w:t>
              <w:br/>
            </w:r>
            <w:r>
              <w:rPr>
                <w:rFonts w:ascii="Times New Roman;Times;Serif" w:hAnsi="Times New Roman;Times;Serif"/>
                <w:b/>
                <w:i w:val="false"/>
                <w:caps w:val="false"/>
                <w:smallCaps w:val="false"/>
                <w:sz w:val="20"/>
              </w:rPr>
              <w:t>($)</w:t>
            </w:r>
          </w:p>
        </w:tc>
        <w:tc>
          <w:tcPr>
            <w:tcW w:w="2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Option</w:t>
              <w:br/>
              <w:t>Awards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25" w:type="dxa"/>
            <w:gridSpan w:val="2"/>
            <w:tcBorders>
              <w:bottom w:val="single" w:sz="12" w:space="0" w:color="000000"/>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w:t>
              <w:br/>
              <w:t>Incentive Plan</w:t>
              <w:br/>
              <w:t>Compensation</w:t>
            </w:r>
            <w:r>
              <w:rPr>
                <w:rFonts w:ascii="Times New Roman;Times;Serif" w:hAnsi="Times New Roman;Times;Serif"/>
                <w:b/>
                <w:i w:val="false"/>
                <w:caps w:val="false"/>
                <w:smallCaps w:val="false"/>
                <w:position w:val="7"/>
                <w:sz w:val="16"/>
                <w:sz w:val="20"/>
              </w:rPr>
              <w:t>(2)</w:t>
              <w:br/>
            </w:r>
            <w:r>
              <w:rPr>
                <w:rFonts w:ascii="Times New Roman;Times;Serif" w:hAnsi="Times New Roman;Times;Serif"/>
                <w:b/>
                <w:i w:val="false"/>
                <w:caps w:val="false"/>
                <w:smallCaps w:val="false"/>
                <w:sz w:val="20"/>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All Other</w:t>
              <w:br/>
              <w:t>Compensation</w:t>
              <w:br/>
              <w:t>($)</w:t>
            </w:r>
          </w:p>
        </w:tc>
        <w:tc>
          <w:tcPr>
            <w:tcW w:w="2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Total</w:t>
              <w:b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b/>
              </w:rPr>
            </w:pPr>
            <w:r>
              <w:rPr>
                <w:b/>
              </w:rPr>
              <w:t>Marlan D. Walker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500,000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196" w:type="dxa"/>
            <w:tcBorders/>
            <w:shd w:fill="CCEEFF" w:val="clear"/>
            <w:tcMar>
              <w:bottom w:w="0" w:type="dxa"/>
            </w:tcMar>
            <w:vAlign w:val="center"/>
          </w:tcPr>
          <w:p>
            <w:pPr>
              <w:pStyle w:val="TableContents"/>
              <w:bidi w:val="0"/>
              <w:spacing w:before="0" w:after="283"/>
              <w:jc w:val="right"/>
              <w:rPr/>
            </w:pPr>
            <w:r>
              <w:rPr/>
              <w:t>250,000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319" w:type="dxa"/>
            <w:tcBorders/>
            <w:shd w:fill="CCEEFF" w:val="clear"/>
            <w:tcMar>
              <w:bottom w:w="0" w:type="dxa"/>
            </w:tcMar>
            <w:vAlign w:val="center"/>
          </w:tcPr>
          <w:p>
            <w:pPr>
              <w:pStyle w:val="TableContents"/>
              <w:bidi w:val="0"/>
              <w:spacing w:before="0" w:after="283"/>
              <w:jc w:val="right"/>
              <w:rPr/>
            </w:pPr>
            <w:r>
              <w:rPr/>
              <w:t>9,174</w:t>
            </w:r>
          </w:p>
        </w:tc>
        <w:tc>
          <w:tcPr>
            <w:tcW w:w="21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759,174</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Chief Executive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476,462</w:t>
            </w:r>
          </w:p>
        </w:tc>
        <w:tc>
          <w:tcPr>
            <w:tcW w:w="2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176,535</w:t>
            </w:r>
          </w:p>
        </w:tc>
        <w:tc>
          <w:tcPr>
            <w:tcW w:w="21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358,400</w:t>
            </w:r>
          </w:p>
        </w:tc>
        <w:tc>
          <w:tcPr>
            <w:tcW w:w="21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(5)</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196"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319" w:type="dxa"/>
            <w:tcBorders/>
            <w:shd w:fill="CCEEFF" w:val="clear"/>
            <w:tcMar>
              <w:bottom w:w="0" w:type="dxa"/>
            </w:tcMar>
            <w:vAlign w:val="center"/>
          </w:tcPr>
          <w:p>
            <w:pPr>
              <w:pStyle w:val="TableContents"/>
              <w:bidi w:val="0"/>
              <w:spacing w:before="0" w:after="283"/>
              <w:jc w:val="right"/>
              <w:rPr/>
            </w:pPr>
            <w:r>
              <w:rPr/>
              <w:t>8,420</w:t>
            </w:r>
          </w:p>
        </w:tc>
        <w:tc>
          <w:tcPr>
            <w:tcW w:w="21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1,019,817</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75" w:type="dxa"/>
            <w:tcBorders/>
            <w:tcMar>
              <w:bottom w:w="0" w:type="dxa"/>
            </w:tcMar>
            <w:vAlign w:val="center"/>
          </w:tcPr>
          <w:p>
            <w:pPr>
              <w:pStyle w:val="TableContents"/>
              <w:bidi w:val="0"/>
              <w:spacing w:before="0" w:after="283"/>
              <w:jc w:val="left"/>
              <w:rPr>
                <w:b/>
                <w:sz w:val="20"/>
              </w:rPr>
            </w:pPr>
            <w:r>
              <w:rPr>
                <w:b/>
                <w:sz w:val="20"/>
              </w:rPr>
              <w:t>Joseph Ziegler</w:t>
            </w:r>
            <w:r>
              <w:rPr>
                <w:b/>
                <w:position w:val="7"/>
                <w:sz w:val="16"/>
                <w:sz w:val="20"/>
              </w:rPr>
              <w:t>(3)</w:t>
            </w:r>
          </w:p>
        </w:tc>
        <w:tc>
          <w:tcPr>
            <w:tcW w:w="9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pPr>
            <w:r>
              <w:rPr/>
              <w:t>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120,000</w:t>
            </w:r>
          </w:p>
        </w:tc>
        <w:tc>
          <w:tcPr>
            <w:tcW w:w="215" w:type="dxa"/>
            <w:tcBorders/>
            <w:tcMar>
              <w:bottom w:w="0" w:type="dxa"/>
            </w:tcMar>
            <w:vAlign w:val="center"/>
          </w:tcPr>
          <w:p>
            <w:pPr>
              <w:pStyle w:val="TableContents"/>
              <w:bidi w:val="0"/>
              <w:spacing w:before="0" w:after="283"/>
              <w:jc w:val="left"/>
              <w:rPr>
                <w:position w:val="8"/>
                <w:sz w:val="19"/>
              </w:rPr>
            </w:pPr>
            <w:r>
              <w:rPr>
                <w:position w:val="8"/>
                <w:sz w:val="19"/>
              </w:rPr>
              <w:t>(7)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w:t>
            </w:r>
          </w:p>
        </w:tc>
        <w:tc>
          <w:tcPr>
            <w:tcW w:w="2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w:t>
            </w:r>
          </w:p>
        </w:tc>
        <w:tc>
          <w:tcPr>
            <w:tcW w:w="2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9" w:type="dxa"/>
            <w:tcBorders/>
            <w:tcMar>
              <w:bottom w:w="0" w:type="dxa"/>
            </w:tcMar>
            <w:vAlign w:val="center"/>
          </w:tcPr>
          <w:p>
            <w:pPr>
              <w:pStyle w:val="TableContents"/>
              <w:bidi w:val="0"/>
              <w:spacing w:before="0" w:after="283"/>
              <w:jc w:val="left"/>
              <w:rPr/>
            </w:pPr>
            <w:r>
              <w:rPr/>
              <w:t> </w:t>
            </w:r>
          </w:p>
        </w:tc>
        <w:tc>
          <w:tcPr>
            <w:tcW w:w="1196"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1" w:type="dxa"/>
            <w:tcBorders/>
            <w:tcMar>
              <w:bottom w:w="0" w:type="dxa"/>
            </w:tcMar>
            <w:vAlign w:val="center"/>
          </w:tcPr>
          <w:p>
            <w:pPr>
              <w:pStyle w:val="TableContents"/>
              <w:bidi w:val="0"/>
              <w:spacing w:before="0" w:after="283"/>
              <w:jc w:val="left"/>
              <w:rPr/>
            </w:pPr>
            <w:r>
              <w:rPr/>
              <w:t> </w:t>
            </w:r>
          </w:p>
        </w:tc>
        <w:tc>
          <w:tcPr>
            <w:tcW w:w="1319" w:type="dxa"/>
            <w:tcBorders/>
            <w:tcMar>
              <w:bottom w:w="0" w:type="dxa"/>
            </w:tcMar>
            <w:vAlign w:val="center"/>
          </w:tcPr>
          <w:p>
            <w:pPr>
              <w:pStyle w:val="TableContents"/>
              <w:bidi w:val="0"/>
              <w:spacing w:before="0" w:after="283"/>
              <w:jc w:val="right"/>
              <w:rPr/>
            </w:pPr>
            <w:r>
              <w:rPr/>
              <w:t>-</w:t>
            </w:r>
          </w:p>
        </w:tc>
        <w:tc>
          <w:tcPr>
            <w:tcW w:w="2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120,000</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175" w:type="dxa"/>
            <w:tcBorders/>
            <w:tcMar>
              <w:bottom w:w="0" w:type="dxa"/>
            </w:tcMar>
            <w:vAlign w:val="center"/>
          </w:tcPr>
          <w:p>
            <w:pPr>
              <w:pStyle w:val="TableContents"/>
              <w:bidi w:val="0"/>
              <w:spacing w:before="0" w:after="283"/>
              <w:jc w:val="left"/>
              <w:rPr/>
            </w:pPr>
            <w:r>
              <w:rPr/>
              <w:t>Principal Financial and Accounting Officer</w:t>
            </w:r>
          </w:p>
        </w:tc>
        <w:tc>
          <w:tcPr>
            <w:tcW w:w="9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pPr>
            <w:r>
              <w:rPr/>
              <w:t>2023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52,900</w:t>
            </w:r>
          </w:p>
        </w:tc>
        <w:tc>
          <w:tcPr>
            <w:tcW w:w="215" w:type="dxa"/>
            <w:tcBorders/>
            <w:tcMar>
              <w:bottom w:w="0" w:type="dxa"/>
            </w:tcMar>
            <w:vAlign w:val="center"/>
          </w:tcPr>
          <w:p>
            <w:pPr>
              <w:pStyle w:val="TableContents"/>
              <w:bidi w:val="0"/>
              <w:spacing w:before="0" w:after="283"/>
              <w:jc w:val="left"/>
              <w:rPr>
                <w:position w:val="8"/>
                <w:sz w:val="19"/>
              </w:rPr>
            </w:pPr>
            <w:r>
              <w:rPr>
                <w:position w:val="8"/>
                <w:sz w:val="19"/>
              </w:rPr>
              <w:t>(7)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w:t>
            </w:r>
          </w:p>
        </w:tc>
        <w:tc>
          <w:tcPr>
            <w:tcW w:w="2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30,000</w:t>
            </w:r>
          </w:p>
        </w:tc>
        <w:tc>
          <w:tcPr>
            <w:tcW w:w="215" w:type="dxa"/>
            <w:tcBorders/>
            <w:tcMar>
              <w:bottom w:w="0" w:type="dxa"/>
            </w:tcMar>
            <w:vAlign w:val="center"/>
          </w:tcPr>
          <w:p>
            <w:pPr>
              <w:pStyle w:val="TableContents"/>
              <w:bidi w:val="0"/>
              <w:spacing w:before="0" w:after="283"/>
              <w:jc w:val="left"/>
              <w:rPr>
                <w:position w:val="8"/>
                <w:sz w:val="19"/>
              </w:rPr>
            </w:pPr>
            <w:r>
              <w:rPr>
                <w:position w:val="8"/>
                <w:sz w:val="19"/>
              </w:rPr>
              <w:t>(8)</w:t>
            </w:r>
          </w:p>
        </w:tc>
        <w:tc>
          <w:tcPr>
            <w:tcW w:w="90" w:type="dxa"/>
            <w:tcBorders/>
            <w:tcMar>
              <w:bottom w:w="0" w:type="dxa"/>
            </w:tcMar>
            <w:vAlign w:val="center"/>
          </w:tcPr>
          <w:p>
            <w:pPr>
              <w:pStyle w:val="TableContents"/>
              <w:bidi w:val="0"/>
              <w:spacing w:before="0" w:after="283"/>
              <w:jc w:val="left"/>
              <w:rPr/>
            </w:pPr>
            <w:r>
              <w:rPr/>
              <w:t> </w:t>
            </w:r>
          </w:p>
        </w:tc>
        <w:tc>
          <w:tcPr>
            <w:tcW w:w="3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9" w:type="dxa"/>
            <w:tcBorders/>
            <w:tcMar>
              <w:bottom w:w="0" w:type="dxa"/>
            </w:tcMar>
            <w:vAlign w:val="center"/>
          </w:tcPr>
          <w:p>
            <w:pPr>
              <w:pStyle w:val="TableContents"/>
              <w:bidi w:val="0"/>
              <w:spacing w:before="0" w:after="283"/>
              <w:jc w:val="left"/>
              <w:rPr/>
            </w:pPr>
            <w:r>
              <w:rPr/>
              <w:t> </w:t>
            </w:r>
          </w:p>
        </w:tc>
        <w:tc>
          <w:tcPr>
            <w:tcW w:w="1196"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1" w:type="dxa"/>
            <w:tcBorders/>
            <w:tcMar>
              <w:bottom w:w="0" w:type="dxa"/>
            </w:tcMar>
            <w:vAlign w:val="center"/>
          </w:tcPr>
          <w:p>
            <w:pPr>
              <w:pStyle w:val="TableContents"/>
              <w:bidi w:val="0"/>
              <w:spacing w:before="0" w:after="283"/>
              <w:jc w:val="left"/>
              <w:rPr/>
            </w:pPr>
            <w:r>
              <w:rPr/>
              <w:t> </w:t>
            </w:r>
          </w:p>
        </w:tc>
        <w:tc>
          <w:tcPr>
            <w:tcW w:w="1319" w:type="dxa"/>
            <w:tcBorders/>
            <w:tcMar>
              <w:bottom w:w="0" w:type="dxa"/>
            </w:tcMar>
            <w:vAlign w:val="center"/>
          </w:tcPr>
          <w:p>
            <w:pPr>
              <w:pStyle w:val="TableContents"/>
              <w:bidi w:val="0"/>
              <w:spacing w:before="0" w:after="283"/>
              <w:jc w:val="right"/>
              <w:rPr/>
            </w:pPr>
            <w:r>
              <w:rPr/>
              <w:t>-</w:t>
            </w:r>
          </w:p>
        </w:tc>
        <w:tc>
          <w:tcPr>
            <w:tcW w:w="2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82,900</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sz w:val="20"/>
              </w:rPr>
            </w:pPr>
            <w:r>
              <w:rPr>
                <w:sz w:val="20"/>
              </w:rPr>
              <w:t>(1)</w:t>
            </w:r>
          </w:p>
        </w:tc>
        <w:tc>
          <w:tcPr>
            <w:tcW w:w="9954" w:type="dxa"/>
            <w:tcBorders/>
            <w:vAlign w:val="center"/>
          </w:tcPr>
          <w:p>
            <w:pPr>
              <w:pStyle w:val="TableContents"/>
              <w:bidi w:val="0"/>
              <w:spacing w:before="0" w:after="283"/>
              <w:jc w:val="left"/>
              <w:rPr>
                <w:sz w:val="20"/>
              </w:rPr>
            </w:pPr>
            <w:r>
              <w:rPr>
                <w:sz w:val="20"/>
              </w:rPr>
              <w:t>Represents the grant date fair value of restricted stock units (RSUs) and performance restricted stock units (PSUs) granted. The number of PSUs represents the maximum number of PSUs that may vest. The actual number of PSUs that will vest will depend on the Company’s achievement of certain performance goals.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sz w:val="20"/>
              </w:rPr>
            </w:pPr>
            <w:r>
              <w:rPr>
                <w:sz w:val="20"/>
              </w:rPr>
              <w:t>(2)</w:t>
            </w:r>
          </w:p>
        </w:tc>
        <w:tc>
          <w:tcPr>
            <w:tcW w:w="9952" w:type="dxa"/>
            <w:tcBorders/>
            <w:vAlign w:val="center"/>
          </w:tcPr>
          <w:p>
            <w:pPr>
              <w:pStyle w:val="TableContents"/>
              <w:bidi w:val="0"/>
              <w:spacing w:before="0" w:after="283"/>
              <w:jc w:val="left"/>
              <w:rPr>
                <w:sz w:val="20"/>
              </w:rPr>
            </w:pPr>
            <w:r>
              <w:rPr>
                <w:sz w:val="20"/>
              </w:rPr>
              <w:t xml:space="preserve">Amounts in this column represent the amounts earned and payable under our annual performance-targeted incentive plan, which were earned and payable during the indicated fiscal year but portions of which may not have been paid until after the end of indicated fiscal year. </w:t>
            </w:r>
          </w:p>
        </w:tc>
      </w:tr>
    </w:tbl>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290"/>
        <w:gridCol w:w="9110"/>
      </w:tblGrid>
      <w:tr>
        <w:trPr/>
        <w:tc>
          <w:tcPr>
            <w:tcW w:w="290" w:type="dxa"/>
            <w:tcBorders/>
            <w:vAlign w:val="center"/>
          </w:tcPr>
          <w:p>
            <w:pPr>
              <w:pStyle w:val="TableContents"/>
              <w:bidi w:val="0"/>
              <w:spacing w:before="0" w:after="283"/>
              <w:jc w:val="left"/>
              <w:rPr>
                <w:sz w:val="20"/>
              </w:rPr>
            </w:pPr>
            <w:r>
              <w:rPr>
                <w:sz w:val="20"/>
              </w:rPr>
              <w:t>(3)</w:t>
            </w:r>
          </w:p>
        </w:tc>
        <w:tc>
          <w:tcPr>
            <w:tcW w:w="9110" w:type="dxa"/>
            <w:tcBorders/>
            <w:vAlign w:val="center"/>
          </w:tcPr>
          <w:p>
            <w:pPr>
              <w:pStyle w:val="TableContents"/>
              <w:bidi w:val="0"/>
              <w:spacing w:before="0" w:after="283"/>
              <w:jc w:val="left"/>
              <w:rPr>
                <w:sz w:val="20"/>
              </w:rPr>
            </w:pPr>
            <w:r>
              <w:rPr>
                <w:sz w:val="20"/>
              </w:rPr>
              <w:t xml:space="preserve">On August 17, 2023, Mr. Ziegler began serving as Principal Financial and Accounting Officer of the Company. </w:t>
            </w:r>
          </w:p>
        </w:tc>
      </w:tr>
    </w:tbl>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290"/>
        <w:gridCol w:w="3185"/>
      </w:tblGrid>
      <w:tr>
        <w:trPr/>
        <w:tc>
          <w:tcPr>
            <w:tcW w:w="290" w:type="dxa"/>
            <w:tcBorders/>
            <w:vAlign w:val="center"/>
          </w:tcPr>
          <w:p>
            <w:pPr>
              <w:pStyle w:val="TableContents"/>
              <w:bidi w:val="0"/>
              <w:spacing w:before="0" w:after="283"/>
              <w:jc w:val="left"/>
              <w:rPr>
                <w:sz w:val="20"/>
              </w:rPr>
            </w:pPr>
            <w:r>
              <w:rPr>
                <w:sz w:val="20"/>
              </w:rPr>
              <w:t>(4)</w:t>
            </w:r>
          </w:p>
        </w:tc>
        <w:tc>
          <w:tcPr>
            <w:tcW w:w="3185" w:type="dxa"/>
            <w:tcBorders/>
            <w:vAlign w:val="center"/>
          </w:tcPr>
          <w:p>
            <w:pPr>
              <w:pStyle w:val="TableContents"/>
              <w:bidi w:val="0"/>
              <w:spacing w:before="0" w:after="283"/>
              <w:jc w:val="left"/>
              <w:rPr>
                <w:sz w:val="20"/>
              </w:rPr>
            </w:pPr>
            <w:r>
              <w:rPr>
                <w:sz w:val="20"/>
              </w:rPr>
              <w:t xml:space="preserve">Amounts represent retention bonuses. </w:t>
            </w:r>
          </w:p>
        </w:tc>
      </w:tr>
    </w:tbl>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290"/>
        <w:gridCol w:w="7130"/>
      </w:tblGrid>
      <w:tr>
        <w:trPr/>
        <w:tc>
          <w:tcPr>
            <w:tcW w:w="290" w:type="dxa"/>
            <w:tcBorders/>
            <w:vAlign w:val="center"/>
          </w:tcPr>
          <w:p>
            <w:pPr>
              <w:pStyle w:val="TableContents"/>
              <w:bidi w:val="0"/>
              <w:spacing w:before="0" w:after="283"/>
              <w:jc w:val="left"/>
              <w:rPr>
                <w:sz w:val="20"/>
              </w:rPr>
            </w:pPr>
            <w:r>
              <w:rPr>
                <w:sz w:val="20"/>
              </w:rPr>
              <w:t>(5)</w:t>
            </w:r>
          </w:p>
        </w:tc>
        <w:tc>
          <w:tcPr>
            <w:tcW w:w="7130" w:type="dxa"/>
            <w:tcBorders/>
            <w:vAlign w:val="center"/>
          </w:tcPr>
          <w:p>
            <w:pPr>
              <w:pStyle w:val="TableContents"/>
              <w:bidi w:val="0"/>
              <w:spacing w:before="0" w:after="283"/>
              <w:jc w:val="left"/>
              <w:rPr>
                <w:sz w:val="20"/>
              </w:rPr>
            </w:pPr>
            <w:r>
              <w:rPr>
                <w:sz w:val="20"/>
              </w:rPr>
              <w:t xml:space="preserve">For 2023, the amount represents 70,000 RSUs with a grant date fair value of $358,400.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sz w:val="20"/>
              </w:rPr>
            </w:pPr>
            <w:r>
              <w:rPr>
                <w:sz w:val="20"/>
              </w:rPr>
              <w:t>(6)</w:t>
            </w:r>
          </w:p>
        </w:tc>
        <w:tc>
          <w:tcPr>
            <w:tcW w:w="9926" w:type="dxa"/>
            <w:tcBorders/>
            <w:vAlign w:val="center"/>
          </w:tcPr>
          <w:p>
            <w:pPr>
              <w:pStyle w:val="TableContents"/>
              <w:bidi w:val="0"/>
              <w:spacing w:before="0" w:after="283"/>
              <w:jc w:val="left"/>
              <w:rPr>
                <w:sz w:val="20"/>
              </w:rPr>
            </w:pPr>
            <w:r>
              <w:rPr>
                <w:sz w:val="20"/>
              </w:rPr>
              <w:t xml:space="preserve">Other compensation paid was related to (i) employer match to 401(k) plan of $2,000, and (ii) health and welfare benefits paid by the Company. </w:t>
            </w:r>
          </w:p>
        </w:tc>
      </w:tr>
    </w:tbl>
    <w:p>
      <w:pPr>
        <w:pStyle w:val="TextBody"/>
        <w:bidi w:val="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290"/>
        <w:gridCol w:w="8840"/>
      </w:tblGrid>
      <w:tr>
        <w:trPr/>
        <w:tc>
          <w:tcPr>
            <w:tcW w:w="290" w:type="dxa"/>
            <w:tcBorders/>
            <w:vAlign w:val="center"/>
          </w:tcPr>
          <w:p>
            <w:pPr>
              <w:pStyle w:val="TableContents"/>
              <w:bidi w:val="0"/>
              <w:spacing w:before="0" w:after="283"/>
              <w:jc w:val="left"/>
              <w:rPr>
                <w:sz w:val="20"/>
              </w:rPr>
            </w:pPr>
            <w:r>
              <w:rPr>
                <w:sz w:val="20"/>
              </w:rPr>
              <w:t>(7)</w:t>
            </w:r>
          </w:p>
        </w:tc>
        <w:tc>
          <w:tcPr>
            <w:tcW w:w="8840" w:type="dxa"/>
            <w:tcBorders/>
            <w:vAlign w:val="center"/>
          </w:tcPr>
          <w:p>
            <w:pPr>
              <w:pStyle w:val="TableContents"/>
              <w:bidi w:val="0"/>
              <w:spacing w:before="0" w:after="283"/>
              <w:jc w:val="left"/>
              <w:rPr>
                <w:sz w:val="20"/>
              </w:rPr>
            </w:pPr>
            <w:r>
              <w:rPr>
                <w:sz w:val="20"/>
              </w:rPr>
              <w:t xml:space="preserve">The amounts represent the fixed fee paid to JZ Advisory in accordance with the Master Services Agreement. </w:t>
            </w:r>
          </w:p>
        </w:tc>
      </w:tr>
    </w:tbl>
    <w:p>
      <w:pPr>
        <w:pStyle w:val="TextBody"/>
        <w:bidi w:val="0"/>
        <w:spacing w:before="0" w:after="0"/>
        <w:ind w:left="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290"/>
        <w:gridCol w:w="6875"/>
      </w:tblGrid>
      <w:tr>
        <w:trPr/>
        <w:tc>
          <w:tcPr>
            <w:tcW w:w="290" w:type="dxa"/>
            <w:tcBorders/>
            <w:vAlign w:val="center"/>
          </w:tcPr>
          <w:p>
            <w:pPr>
              <w:pStyle w:val="TableContents"/>
              <w:bidi w:val="0"/>
              <w:spacing w:before="0" w:after="283"/>
              <w:jc w:val="left"/>
              <w:rPr>
                <w:sz w:val="20"/>
              </w:rPr>
            </w:pPr>
            <w:r>
              <w:rPr>
                <w:sz w:val="20"/>
              </w:rPr>
              <w:t>(8)</w:t>
            </w:r>
          </w:p>
        </w:tc>
        <w:tc>
          <w:tcPr>
            <w:tcW w:w="6875" w:type="dxa"/>
            <w:tcBorders/>
            <w:vAlign w:val="center"/>
          </w:tcPr>
          <w:p>
            <w:pPr>
              <w:pStyle w:val="TableContents"/>
              <w:bidi w:val="0"/>
              <w:spacing w:before="0" w:after="283"/>
              <w:jc w:val="left"/>
              <w:rPr>
                <w:sz w:val="20"/>
              </w:rPr>
            </w:pPr>
            <w:r>
              <w:rPr>
                <w:sz w:val="20"/>
              </w:rPr>
              <w:t>For 2023, the amount represents 7,500 RSUs with a grant date fair value of $30,000.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information with respect to outstanding equity-based awards held by our NEOs at December 31, 2024.</w:t>
      </w:r>
    </w:p>
    <w:p>
      <w:pPr>
        <w:pStyle w:val="TextBody"/>
        <w:bidi w:val="0"/>
        <w:spacing w:before="0" w:after="0"/>
        <w:ind w:left="0" w:right="0" w:hanging="0"/>
        <w:jc w:val="left"/>
        <w:rPr>
          <w:caps w:val="false"/>
          <w:smallCaps w:val="false"/>
        </w:rPr>
      </w:pPr>
      <w:r>
        <w:rPr>
          <w:caps w:val="false"/>
          <w:smallCaps w:val="false"/>
        </w:rPr>
        <w:t> </w:t>
      </w:r>
    </w:p>
    <w:tbl>
      <w:tblPr>
        <w:tblW w:w="9868" w:type="dxa"/>
        <w:jc w:val="left"/>
        <w:tblInd w:w="0" w:type="dxa"/>
        <w:tblLayout w:type="fixed"/>
        <w:tblCellMar>
          <w:top w:w="0" w:type="dxa"/>
          <w:left w:w="0" w:type="dxa"/>
          <w:bottom w:w="0" w:type="dxa"/>
          <w:right w:w="0" w:type="dxa"/>
        </w:tblCellMar>
      </w:tblPr>
      <w:tblGrid>
        <w:gridCol w:w="1955"/>
        <w:gridCol w:w="90"/>
        <w:gridCol w:w="1520"/>
        <w:gridCol w:w="90"/>
        <w:gridCol w:w="90"/>
        <w:gridCol w:w="220"/>
        <w:gridCol w:w="1443"/>
        <w:gridCol w:w="220"/>
        <w:gridCol w:w="220"/>
        <w:gridCol w:w="257"/>
        <w:gridCol w:w="1218"/>
        <w:gridCol w:w="90"/>
        <w:gridCol w:w="90"/>
        <w:gridCol w:w="101"/>
        <w:gridCol w:w="804"/>
        <w:gridCol w:w="90"/>
        <w:gridCol w:w="90"/>
        <w:gridCol w:w="1145"/>
        <w:gridCol w:w="135"/>
      </w:tblGrid>
      <w:tr>
        <w:trPr/>
        <w:tc>
          <w:tcPr>
            <w:tcW w:w="19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988" w:type="dxa"/>
            <w:gridSpan w:val="13"/>
            <w:tcBorders>
              <w:bottom w:val="single" w:sz="12" w:space="0" w:color="000000"/>
            </w:tcBorders>
            <w:tcMar>
              <w:bottom w:w="28" w:type="dxa"/>
            </w:tcMar>
            <w:vAlign w:val="center"/>
          </w:tcPr>
          <w:p>
            <w:pPr>
              <w:pStyle w:val="TableContents"/>
              <w:bidi w:val="0"/>
              <w:spacing w:before="0" w:after="283"/>
              <w:jc w:val="center"/>
              <w:rPr>
                <w:b/>
              </w:rPr>
            </w:pPr>
            <w:r>
              <w:rPr>
                <w:b/>
              </w:rPr>
              <w:t>Option Awards</w:t>
            </w:r>
          </w:p>
        </w:tc>
        <w:tc>
          <w:tcPr>
            <w:tcW w:w="135" w:type="dxa"/>
            <w:tcBorders/>
            <w:vAlign w:val="center"/>
          </w:tcPr>
          <w:p>
            <w:pPr>
              <w:pStyle w:val="TableContents"/>
              <w:bidi w:val="0"/>
              <w:spacing w:before="0" w:after="283"/>
              <w:jc w:val="center"/>
              <w:rPr/>
            </w:pPr>
            <w:r>
              <w:rPr/>
              <w:t> </w:t>
            </w:r>
          </w:p>
        </w:tc>
      </w:tr>
      <w:tr>
        <w:trPr/>
        <w:tc>
          <w:tcPr>
            <w:tcW w:w="19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5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Number of Securities</w:t>
              <w:br/>
              <w:t>Underlying Unexercised Options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1955"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90" w:type="dxa"/>
            <w:tcBorders/>
            <w:vAlign w:val="center"/>
          </w:tcPr>
          <w:p>
            <w:pPr>
              <w:pStyle w:val="TableContents"/>
              <w:bidi w:val="0"/>
              <w:spacing w:before="0" w:after="283"/>
              <w:jc w:val="center"/>
              <w:rPr/>
            </w:pPr>
            <w:r>
              <w:rPr/>
              <w:t> </w:t>
            </w:r>
          </w:p>
        </w:tc>
        <w:tc>
          <w:tcPr>
            <w:tcW w:w="1520" w:type="dxa"/>
            <w:tcBorders>
              <w:bottom w:val="single" w:sz="12" w:space="0" w:color="000000"/>
            </w:tcBorders>
            <w:tcMar>
              <w:bottom w:w="28" w:type="dxa"/>
            </w:tcMar>
            <w:vAlign w:val="center"/>
          </w:tcPr>
          <w:p>
            <w:pPr>
              <w:pStyle w:val="TableContents"/>
              <w:bidi w:val="0"/>
              <w:spacing w:before="0" w:after="283"/>
              <w:jc w:val="center"/>
              <w:rPr>
                <w:b/>
              </w:rPr>
            </w:pPr>
            <w:r>
              <w:rPr>
                <w:b/>
              </w:rPr>
              <w:t>Equity Award</w:t>
              <w:br/>
              <w:t>Date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Exercisable</w:t>
              <w:br/>
              <w:t>(#)</w:t>
            </w:r>
          </w:p>
        </w:tc>
        <w:tc>
          <w:tcPr>
            <w:tcW w:w="220" w:type="dxa"/>
            <w:tcBorders/>
            <w:vAlign w:val="center"/>
          </w:tcPr>
          <w:p>
            <w:pPr>
              <w:pStyle w:val="TableContents"/>
              <w:bidi w:val="0"/>
              <w:spacing w:before="0" w:after="283"/>
              <w:jc w:val="center"/>
              <w:rPr/>
            </w:pPr>
            <w:r>
              <w:rPr/>
              <w:t> </w:t>
            </w:r>
          </w:p>
        </w:tc>
        <w:tc>
          <w:tcPr>
            <w:tcW w:w="220" w:type="dxa"/>
            <w:tcBorders/>
            <w:vAlign w:val="center"/>
          </w:tcPr>
          <w:p>
            <w:pPr>
              <w:pStyle w:val="TableContents"/>
              <w:bidi w:val="0"/>
              <w:spacing w:before="0" w:after="283"/>
              <w:jc w:val="center"/>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Unexercisable</w:t>
              <w:br/>
              <w: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Exercise</w:t>
              <w:br/>
              <w:t>Price</w:t>
              <w:br/>
              <w: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45" w:type="dxa"/>
            <w:tcBorders>
              <w:bottom w:val="single" w:sz="12"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135" w:type="dxa"/>
            <w:tcBorders/>
            <w:vAlign w:val="center"/>
          </w:tcPr>
          <w:p>
            <w:pPr>
              <w:pStyle w:val="TableContents"/>
              <w:bidi w:val="0"/>
              <w:spacing w:before="0" w:after="283"/>
              <w:ind w:left="0" w:right="0" w:hanging="180"/>
              <w:jc w:val="center"/>
              <w:rPr/>
            </w:pPr>
            <w:r>
              <w:rPr/>
              <w:t> </w:t>
            </w:r>
          </w:p>
        </w:tc>
      </w:tr>
      <w:tr>
        <w:trPr/>
        <w:tc>
          <w:tcPr>
            <w:tcW w:w="1955" w:type="dxa"/>
            <w:tcBorders/>
            <w:shd w:fill="CCEEFF" w:val="clear"/>
            <w:vAlign w:val="center"/>
          </w:tcPr>
          <w:p>
            <w:pPr>
              <w:pStyle w:val="TableContents"/>
              <w:bidi w:val="0"/>
              <w:spacing w:before="0" w:after="283"/>
              <w:jc w:val="left"/>
              <w:rPr>
                <w:b/>
              </w:rPr>
            </w:pPr>
            <w:r>
              <w:rPr>
                <w:b/>
              </w:rPr>
              <w:t>Marlan D. Walker</w:t>
            </w:r>
          </w:p>
        </w:tc>
        <w:tc>
          <w:tcPr>
            <w:tcW w:w="9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07/30/2019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4,000</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109.00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07/30/2029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955" w:type="dxa"/>
            <w:tcBorders/>
            <w:vAlign w:val="center"/>
          </w:tcPr>
          <w:p>
            <w:pPr>
              <w:pStyle w:val="TableContents"/>
              <w:bidi w:val="0"/>
              <w:spacing w:before="0" w:after="283"/>
              <w:jc w:val="left"/>
              <w:rPr>
                <w:b/>
              </w:rPr>
            </w:pPr>
            <w:r>
              <w:rPr>
                <w:b/>
              </w:rPr>
              <w:t>Joseph Ziegler</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w:t>
            </w:r>
          </w:p>
        </w:tc>
        <w:tc>
          <w:tcPr>
            <w:tcW w:w="2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416" w:type="dxa"/>
        <w:jc w:val="left"/>
        <w:tblInd w:w="0" w:type="dxa"/>
        <w:tblLayout w:type="fixed"/>
        <w:tblCellMar>
          <w:top w:w="0" w:type="dxa"/>
          <w:left w:w="0" w:type="dxa"/>
          <w:bottom w:w="0" w:type="dxa"/>
          <w:right w:w="0" w:type="dxa"/>
        </w:tblCellMar>
      </w:tblPr>
      <w:tblGrid>
        <w:gridCol w:w="1955"/>
        <w:gridCol w:w="90"/>
        <w:gridCol w:w="1310"/>
        <w:gridCol w:w="90"/>
        <w:gridCol w:w="90"/>
        <w:gridCol w:w="148"/>
        <w:gridCol w:w="981"/>
        <w:gridCol w:w="275"/>
        <w:gridCol w:w="90"/>
        <w:gridCol w:w="125"/>
        <w:gridCol w:w="824"/>
        <w:gridCol w:w="90"/>
        <w:gridCol w:w="90"/>
        <w:gridCol w:w="137"/>
        <w:gridCol w:w="1196"/>
        <w:gridCol w:w="137"/>
        <w:gridCol w:w="137"/>
        <w:gridCol w:w="137"/>
        <w:gridCol w:w="1379"/>
        <w:gridCol w:w="135"/>
      </w:tblGrid>
      <w:tr>
        <w:trPr/>
        <w:tc>
          <w:tcPr>
            <w:tcW w:w="19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74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Stock Awards</w:t>
            </w:r>
          </w:p>
        </w:tc>
        <w:tc>
          <w:tcPr>
            <w:tcW w:w="135" w:type="dxa"/>
            <w:tcBorders/>
            <w:vAlign w:val="center"/>
          </w:tcPr>
          <w:p>
            <w:pPr>
              <w:pStyle w:val="TableContents"/>
              <w:bidi w:val="0"/>
              <w:spacing w:before="0" w:after="283"/>
              <w:jc w:val="center"/>
              <w:rPr/>
            </w:pPr>
            <w:r>
              <w:rPr/>
              <w:t> </w:t>
            </w:r>
          </w:p>
        </w:tc>
      </w:tr>
      <w:tr>
        <w:trPr/>
        <w:tc>
          <w:tcPr>
            <w:tcW w:w="19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29"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4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12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Equity Incentive Plan Awards</w:t>
            </w:r>
          </w:p>
        </w:tc>
        <w:tc>
          <w:tcPr>
            <w:tcW w:w="135" w:type="dxa"/>
            <w:tcBorders/>
            <w:vAlign w:val="center"/>
          </w:tcPr>
          <w:p>
            <w:pPr>
              <w:pStyle w:val="TableContents"/>
              <w:bidi w:val="0"/>
              <w:spacing w:before="0" w:after="283"/>
              <w:jc w:val="center"/>
              <w:rPr/>
            </w:pPr>
            <w:r>
              <w:rPr/>
              <w:t> </w:t>
            </w:r>
          </w:p>
        </w:tc>
      </w:tr>
      <w:tr>
        <w:trPr/>
        <w:tc>
          <w:tcPr>
            <w:tcW w:w="1955"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90" w:type="dxa"/>
            <w:tcBorders/>
            <w:vAlign w:val="center"/>
          </w:tcPr>
          <w:p>
            <w:pPr>
              <w:pStyle w:val="TableContents"/>
              <w:bidi w:val="0"/>
              <w:spacing w:before="0" w:after="283"/>
              <w:jc w:val="center"/>
              <w:rPr/>
            </w:pPr>
            <w:r>
              <w:rPr/>
              <w:t> </w:t>
            </w:r>
          </w:p>
        </w:tc>
        <w:tc>
          <w:tcPr>
            <w:tcW w:w="1310"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Equity </w:t>
              <w:br/>
              <w:t>Award Date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w:t>
              <w:br/>
              <w:t>of Shares</w:t>
              <w:br/>
              <w:t>or Units</w:t>
              <w:br/>
              <w:t>of Stock</w:t>
              <w:br/>
              <w:t>That Have</w:t>
              <w:br/>
              <w:t>Not</w:t>
              <w:br/>
              <w:t>Vested</w:t>
              <w:br/>
              <w:t>(#)</w:t>
            </w:r>
          </w:p>
        </w:tc>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Market</w:t>
              <w:br/>
              <w:t>Value of</w:t>
              <w:br/>
              <w:t>Shares or</w:t>
              <w:br/>
              <w:t>Units of</w:t>
              <w:br/>
              <w:t xml:space="preserve">Stock </w:t>
              <w:br/>
              <w:t>That Have</w:t>
              <w:br/>
              <w:t>Not</w:t>
              <w:br/>
              <w:t>Vested</w:t>
            </w:r>
            <w:r>
              <w:rPr>
                <w:b/>
                <w:position w:val="7"/>
                <w:sz w:val="16"/>
                <w:sz w:val="20"/>
              </w:rPr>
              <w:t>(1)</w:t>
              <w:br/>
            </w:r>
            <w:r>
              <w:rPr>
                <w:b/>
                <w:sz w:val="20"/>
              </w:rPr>
              <w: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br/>
              <w:t>of Shares</w:t>
              <w:br/>
              <w:t xml:space="preserve">or Units </w:t>
              <w:br/>
              <w:t>of Stock</w:t>
              <w:br/>
              <w:t>That Have</w:t>
              <w:br/>
              <w:t xml:space="preserve">Not </w:t>
              <w:br/>
              <w:t>Vested</w:t>
              <w:br/>
              <w:t>(#)</w:t>
            </w:r>
          </w:p>
        </w:tc>
        <w:tc>
          <w:tcPr>
            <w:tcW w:w="137" w:type="dxa"/>
            <w:tcBorders/>
            <w:vAlign w:val="center"/>
          </w:tcPr>
          <w:p>
            <w:pPr>
              <w:pStyle w:val="TableContents"/>
              <w:bidi w:val="0"/>
              <w:spacing w:before="0" w:after="283"/>
              <w:jc w:val="center"/>
              <w:rPr/>
            </w:pPr>
            <w:r>
              <w:rPr/>
              <w:t> </w:t>
            </w:r>
          </w:p>
        </w:tc>
        <w:tc>
          <w:tcPr>
            <w:tcW w:w="137" w:type="dxa"/>
            <w:tcBorders/>
            <w:vAlign w:val="center"/>
          </w:tcPr>
          <w:p>
            <w:pPr>
              <w:pStyle w:val="TableContents"/>
              <w:bidi w:val="0"/>
              <w:spacing w:before="0" w:after="283"/>
              <w:jc w:val="center"/>
              <w:rPr/>
            </w:pPr>
            <w:r>
              <w:rPr/>
              <w:t> </w:t>
            </w:r>
          </w:p>
        </w:tc>
        <w:tc>
          <w:tcPr>
            <w:tcW w:w="1516"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Market</w:t>
              <w:br/>
              <w:t>Value of</w:t>
              <w:br/>
              <w:t>Shares or</w:t>
              <w:br/>
              <w:t>Units of</w:t>
              <w:br/>
              <w:t>Stock</w:t>
              <w:br/>
              <w:t>That Have</w:t>
              <w:br/>
              <w:t>Not</w:t>
              <w:br/>
              <w:t>Vested</w:t>
            </w:r>
            <w:r>
              <w:rPr>
                <w:b/>
                <w:position w:val="7"/>
                <w:sz w:val="16"/>
                <w:sz w:val="20"/>
              </w:rPr>
              <w:t>(1)</w:t>
              <w:br/>
            </w:r>
            <w:r>
              <w:rPr>
                <w:b/>
                <w:sz w:val="20"/>
              </w:rPr>
              <w:t>($)</w:t>
            </w:r>
          </w:p>
        </w:tc>
        <w:tc>
          <w:tcPr>
            <w:tcW w:w="135" w:type="dxa"/>
            <w:tcBorders/>
            <w:vAlign w:val="center"/>
          </w:tcPr>
          <w:p>
            <w:pPr>
              <w:pStyle w:val="TableContents"/>
              <w:bidi w:val="0"/>
              <w:spacing w:before="0" w:after="283"/>
              <w:jc w:val="center"/>
              <w:rPr/>
            </w:pPr>
            <w:r>
              <w:rPr/>
              <w:t> </w:t>
            </w:r>
          </w:p>
        </w:tc>
      </w:tr>
      <w:tr>
        <w:trPr/>
        <w:tc>
          <w:tcPr>
            <w:tcW w:w="1955" w:type="dxa"/>
            <w:tcBorders/>
            <w:shd w:fill="CCEEFF" w:val="clear"/>
            <w:vAlign w:val="center"/>
          </w:tcPr>
          <w:p>
            <w:pPr>
              <w:pStyle w:val="TableContents"/>
              <w:bidi w:val="0"/>
              <w:spacing w:before="0" w:after="283"/>
              <w:jc w:val="left"/>
              <w:rPr>
                <w:b/>
              </w:rPr>
            </w:pPr>
            <w:r>
              <w:rPr>
                <w:b/>
              </w:rPr>
              <w:t>Marlan D. Walker</w:t>
            </w:r>
          </w:p>
        </w:tc>
        <w:tc>
          <w:tcPr>
            <w:tcW w:w="9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3/23/2022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1,733</w:t>
            </w:r>
          </w:p>
        </w:tc>
        <w:tc>
          <w:tcPr>
            <w:tcW w:w="275" w:type="dxa"/>
            <w:tcBorders/>
            <w:shd w:fill="CCEEFF" w:val="clear"/>
            <w:vAlign w:val="center"/>
          </w:tcPr>
          <w:p>
            <w:pPr>
              <w:pStyle w:val="TableContents"/>
              <w:bidi w:val="0"/>
              <w:spacing w:before="0" w:after="283"/>
              <w:jc w:val="left"/>
              <w:rPr>
                <w:position w:val="8"/>
                <w:sz w:val="19"/>
              </w:rPr>
            </w:pPr>
            <w:r>
              <w:rPr>
                <w:position w:val="8"/>
                <w:sz w:val="19"/>
              </w:rPr>
              <w:t>(2)</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1,490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r>
              <w:rPr/>
              <w:t>-</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             </w:t>
            </w:r>
            <w:r>
              <w:rPr/>
              <w:t>-</w:t>
            </w:r>
          </w:p>
        </w:tc>
        <w:tc>
          <w:tcPr>
            <w:tcW w:w="135" w:type="dxa"/>
            <w:tcBorders/>
            <w:shd w:fill="CCEEFF" w:val="cle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3/31/2022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5,200</w:t>
            </w:r>
          </w:p>
        </w:tc>
        <w:tc>
          <w:tcPr>
            <w:tcW w:w="275" w:type="dxa"/>
            <w:tcBorders/>
            <w:shd w:fill="CCEEFF" w:val="clear"/>
            <w:vAlign w:val="center"/>
          </w:tcPr>
          <w:p>
            <w:pPr>
              <w:pStyle w:val="TableContents"/>
              <w:bidi w:val="0"/>
              <w:spacing w:before="0" w:after="283"/>
              <w:jc w:val="left"/>
              <w:rPr>
                <w:position w:val="8"/>
                <w:sz w:val="19"/>
              </w:rPr>
            </w:pPr>
            <w:r>
              <w:rPr>
                <w:position w:val="8"/>
                <w:sz w:val="19"/>
              </w:rPr>
              <w:t>(3)</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4,472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b/>
              </w:rPr>
            </w:pPr>
            <w:r>
              <w:rPr>
                <w:b/>
              </w:rPr>
              <w:t>Joseph Ziegler</w:t>
            </w:r>
          </w:p>
        </w:tc>
        <w:tc>
          <w:tcPr>
            <w:tcW w:w="9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379"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290"/>
        <w:gridCol w:w="9200"/>
      </w:tblGrid>
      <w:tr>
        <w:trPr/>
        <w:tc>
          <w:tcPr>
            <w:tcW w:w="290" w:type="dxa"/>
            <w:tcBorders/>
            <w:vAlign w:val="center"/>
          </w:tcPr>
          <w:p>
            <w:pPr>
              <w:pStyle w:val="TableContents"/>
              <w:bidi w:val="0"/>
              <w:spacing w:before="0" w:after="283"/>
              <w:jc w:val="left"/>
              <w:rPr>
                <w:sz w:val="20"/>
              </w:rPr>
            </w:pPr>
            <w:r>
              <w:rPr>
                <w:sz w:val="20"/>
              </w:rPr>
              <w:t>(1)</w:t>
            </w:r>
          </w:p>
        </w:tc>
        <w:tc>
          <w:tcPr>
            <w:tcW w:w="9200" w:type="dxa"/>
            <w:tcBorders/>
            <w:vAlign w:val="center"/>
          </w:tcPr>
          <w:p>
            <w:pPr>
              <w:pStyle w:val="TableContents"/>
              <w:bidi w:val="0"/>
              <w:spacing w:before="0" w:after="283"/>
              <w:jc w:val="both"/>
              <w:rPr>
                <w:sz w:val="20"/>
              </w:rPr>
            </w:pPr>
            <w:r>
              <w:rPr>
                <w:sz w:val="20"/>
              </w:rPr>
              <w:t>The amounts in this column are based on the closing price of our common stock on December 31, 2024 of $0.86.</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335"/>
        <w:gridCol w:w="6200"/>
      </w:tblGrid>
      <w:tr>
        <w:trPr/>
        <w:tc>
          <w:tcPr>
            <w:tcW w:w="335" w:type="dxa"/>
            <w:tcBorders/>
            <w:vAlign w:val="center"/>
          </w:tcPr>
          <w:p>
            <w:pPr>
              <w:pStyle w:val="TableContents"/>
              <w:bidi w:val="0"/>
              <w:spacing w:before="0" w:after="283"/>
              <w:jc w:val="left"/>
              <w:rPr/>
            </w:pPr>
            <w:r>
              <w:rPr/>
              <w:t>(2)</w:t>
            </w:r>
          </w:p>
        </w:tc>
        <w:tc>
          <w:tcPr>
            <w:tcW w:w="6200" w:type="dxa"/>
            <w:tcBorders/>
            <w:vAlign w:val="center"/>
          </w:tcPr>
          <w:p>
            <w:pPr>
              <w:pStyle w:val="TableContents"/>
              <w:bidi w:val="0"/>
              <w:spacing w:before="0" w:after="283"/>
              <w:jc w:val="both"/>
              <w:rPr/>
            </w:pPr>
            <w:r>
              <w:rPr/>
              <w:t>The amount reflects 1,733 RSUs that vested on March 23, 2025.</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290"/>
        <w:gridCol w:w="5030"/>
      </w:tblGrid>
      <w:tr>
        <w:trPr/>
        <w:tc>
          <w:tcPr>
            <w:tcW w:w="290" w:type="dxa"/>
            <w:tcBorders/>
            <w:vAlign w:val="center"/>
          </w:tcPr>
          <w:p>
            <w:pPr>
              <w:pStyle w:val="TableContents"/>
              <w:bidi w:val="0"/>
              <w:spacing w:before="0" w:after="283"/>
              <w:jc w:val="left"/>
              <w:rPr>
                <w:sz w:val="20"/>
              </w:rPr>
            </w:pPr>
            <w:r>
              <w:rPr>
                <w:sz w:val="20"/>
              </w:rPr>
              <w:t>(3)</w:t>
            </w:r>
          </w:p>
        </w:tc>
        <w:tc>
          <w:tcPr>
            <w:tcW w:w="5030" w:type="dxa"/>
            <w:tcBorders/>
            <w:vAlign w:val="center"/>
          </w:tcPr>
          <w:p>
            <w:pPr>
              <w:pStyle w:val="TableContents"/>
              <w:bidi w:val="0"/>
              <w:spacing w:before="0" w:after="283"/>
              <w:jc w:val="both"/>
              <w:rPr>
                <w:sz w:val="20"/>
              </w:rPr>
            </w:pPr>
            <w:r>
              <w:rPr>
                <w:sz w:val="20"/>
              </w:rPr>
              <w:t>The amount reflects 5,200 PSUs that vested on April 5,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Post-Employment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Pension Benefits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offer any defined benefit pension plans for any of our employees. We have a 401(k) plan in which employees may participate.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Walker is eligible to participate in our employee benefit plans, including medical and dental plans. Should we decide to hire other employees, these plans do not discriminate in favor of executive officers and would be available to any potential employee. It is generally our policy to not extend significant perquisites to executives that are not broadly available to our other employees. In designing these elements, we seek to provide an overall level of benefits that is competitive with that offered by similarly situated companies in the markets in which we operate based upon our general understanding of industry practice. These benefits are not considered in determining the compensation of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Employment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Marlan D. Walker has an amended and restated employment agreement (as amended, the “Walker Employment Agreement”), with the Company that commenced on December 18, 2018, and was amended effective October 15, 2021, December 30, 2022, February 21, 2023 and December 17, 2024. The Walker Employment Agreement provides that we will continue to employ Mr. Walker, and Mr. Walker will continue to serve the Company, unless sooner terminated pursuant to the terms of the Walker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Walker Employment Agreement provides for: (i) a base salary of $428,000 per year until April 15, 2023; thereafter, a base salary of $500,000 per year and a lump-sum bonus payment of $20,909, which was paid in April 2023, (ii) an annual short-term incentive compensation of 50% of salary, at the discretion of our Board of Directors, and (iii) 70,000 RSUs which vested on June 30, 2023. Mr. Walker will receive employee benefits, vacation, and other perquisites as may be determined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of termination call for (i) termination immediately upon death, (ii) termination upon a disability in which Mr. Walker is unable to perform his duties for more than six (6) consecutive months, (iii) voluntary termination without good reason by Mr. Walker with prior notice, (iv) involuntary termination by our Company without good cause, (v) termination for good cause, and (vi) termination for good reason wherein Mr. Walker will have ninety (90) days from the date of occurrence of a condition giving rise to good reason to provide a notice of termination of his employment with the Company, which will be effective thirty-one (31) days after we receive notice and the criteria remains uncorrected.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Ziegler Master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the Master Services Agreement with JZ Advisory that commenced on August 15, 2023, pursuant to which, among other things, JZ Advisory will serve as an independent consultant for the purpose of providing the Company with certain support services, including the services of Mr. Ziegler as the Company’s 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agreed to pay JZ Advisory $10,000 a month for the services provided under the Master Services Agreement during the third quarter of 2023, which monthly rate will continue until the parties negotiate a future retainer amount. Mr. Ziegler was also granted 7,500 restricted stock units, which vested on August 17,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Master Services Agreement will continue through the third anniversary of the Effective Date, unless earlier terminated (the “Term”). The Term will automatically be extended for successive one-year periods unless either party provides written notice of non-extension no less than thirty (30) days in advance. The Master Services Agreement may be terminated pursuant to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Master Services Agreement contains certain covenants and agreements of the parties, including certain indemnification obligations of each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Potential Payments Upon Termination or Change in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employment agreements with certain of our executive officers as described above. The arrangements reflected in these employment agreements are designed to encourage the officers’ full attention and dedication to our Company currently and, in the event of any proposed change in control, provide these officers with individual financial security. The employment agreements provide for specified payments and benefits by us to our executive officers only upon a qualifying termination of employment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Termination by Us Without Good Cause or by Executive with Good Reason - No Change in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Walker Employment Agreement, for Mr. Walker, in the event of termination of the executive’s employment without “cause” (referred to as “good cause” in the Walker Employment Agreement) or resignation by the executive for “good reason” (as each term is defined in the Walker Employment Agreement), he would be entitled to, subject to his signing and not revoking a full and complete release of all claims against the Company and its affiliates, (i) the sum of his salary, payable on a biweekly basis ratably over eighteen (18) months, and one and one half times (1.5x) his target annual incentive compensation for the fiscal year in which such termination of employment occurs, (ii) a continuation of welfare benefits for a period of two years after such termination, (iii) COBRA benefits for a period of twenty-four (24) months following such termination, (iv) payment for any annual short-term incentive compensation earned for the calendar year immediately preceding the calendar year of such termination, (v) unpaid accrued base salary and unused vacation pay through the termination date, and (vi) amounts accrued but unpaid at the time of termination. Furthermore, the above obligations of the Company are subject to the executive complying with a non-solicitation agreement of employees and customers, and a non-competition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Termination or Resignation in Connection with a Change in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termination of Mr. Walker’s employment without “good cause” or resignation by the executive for “good reason” in the twelve (12) months following a change in control, Mr. Walker would be entitled to, subject to his signing and not revoking a full and complete release of all claims against the Company and its affiliates, (i) the sum of his salary, payable on a biweekly basis ratably over eighteen (18) months, and one and one half times (1.5x) his target annual incentive compensation for the fiscal year in which such termination of employment occurs, (ii) payment for any annual short-term incentive compensation earned for the calendar year immediately preceding the calendar year of such termination, (iii) unpaid accrued base salary and unused vacation pay through the termination date, and (iv) amounts accrued but unpaid at the time of termination. Furthermore, the above obligations of the Company are subject to the executive complying with a non-solicitation agreement of employees and customers, and a non-competition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Termination by Reason of Death or Disability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Mr. Walker, in the event of termination of the executive’s employment by reason of his death or “disability” (as such term is defined in the Walker Employment Agreement), in addition to those payments and benefits provided to salaried employees generally, including amounts accrued but unpaid at the time of termination, he would be entitled to (i) pro-rated target annual incentive compensation for the fiscal year in which such termination of employment occurs, payable in a lump sum, subject to the executive’s signing and not revoking a full and complete release of all claims against the company and its affiliates in the event of a disability, (ii) immediate vesting of all outstanding equity awards that vest solely on the passage of time, (iii) accrued but unused vacation pay through the termination date, payable in a lump sum, and (iv) all other rights and benefits the executive is vested in, pursuant to other plans and programs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Termination by the Executive Without Good Reason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the amount of compensation to Marlan Walker, the only NEO currently employed by the Company, assuming termination of such executive’s employment without cause or for good reason or following a change in control of our company on December 31, 2024. Other than as set forth below, no amounts will be paid to our NEOs in the event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Marlan Walker </w:t>
      </w:r>
    </w:p>
    <w:p>
      <w:pPr>
        <w:pStyle w:val="TextBody"/>
        <w:bidi w:val="0"/>
        <w:spacing w:before="0" w:after="0"/>
        <w:ind w:left="0" w:right="0" w:hanging="0"/>
        <w:jc w:val="left"/>
        <w:rPr>
          <w:caps w:val="false"/>
          <w:smallCaps w:val="false"/>
        </w:rPr>
      </w:pPr>
      <w:r>
        <w:rPr>
          <w:caps w:val="false"/>
          <w:smallCaps w:val="false"/>
        </w:rPr>
        <w:t> </w:t>
      </w:r>
    </w:p>
    <w:tbl>
      <w:tblPr>
        <w:tblW w:w="9692" w:type="dxa"/>
        <w:jc w:val="left"/>
        <w:tblInd w:w="0" w:type="dxa"/>
        <w:tblLayout w:type="fixed"/>
        <w:tblCellMar>
          <w:top w:w="0" w:type="dxa"/>
          <w:left w:w="0" w:type="dxa"/>
          <w:bottom w:w="28" w:type="dxa"/>
          <w:right w:w="0" w:type="dxa"/>
        </w:tblCellMar>
      </w:tblPr>
      <w:tblGrid>
        <w:gridCol w:w="3425"/>
        <w:gridCol w:w="90"/>
        <w:gridCol w:w="125"/>
        <w:gridCol w:w="1409"/>
        <w:gridCol w:w="275"/>
        <w:gridCol w:w="90"/>
        <w:gridCol w:w="159"/>
        <w:gridCol w:w="1795"/>
        <w:gridCol w:w="275"/>
        <w:gridCol w:w="90"/>
        <w:gridCol w:w="159"/>
        <w:gridCol w:w="1480"/>
        <w:gridCol w:w="320"/>
      </w:tblGrid>
      <w:tr>
        <w:trPr/>
        <w:tc>
          <w:tcPr>
            <w:tcW w:w="3425" w:type="dxa"/>
            <w:tcBorders>
              <w:bottom w:val="single" w:sz="12" w:space="0" w:color="000000"/>
            </w:tcBorders>
            <w:vAlign w:val="center"/>
          </w:tcPr>
          <w:p>
            <w:pPr>
              <w:pStyle w:val="TableContents"/>
              <w:bidi w:val="0"/>
              <w:spacing w:before="0" w:after="283"/>
              <w:jc w:val="left"/>
              <w:rPr>
                <w:b/>
              </w:rPr>
            </w:pPr>
            <w:r>
              <w:rPr>
                <w:b/>
              </w:rPr>
              <w:t>Executive Benefits and Payments</w:t>
            </w:r>
          </w:p>
        </w:tc>
        <w:tc>
          <w:tcPr>
            <w:tcW w:w="9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12" w:space="0" w:color="000000"/>
            </w:tcBorders>
            <w:vAlign w:val="center"/>
          </w:tcPr>
          <w:p>
            <w:pPr>
              <w:pStyle w:val="TableContents"/>
              <w:bidi w:val="0"/>
              <w:spacing w:before="0" w:after="283"/>
              <w:jc w:val="center"/>
              <w:rPr>
                <w:b/>
              </w:rPr>
            </w:pPr>
            <w:r>
              <w:rPr>
                <w:b/>
              </w:rPr>
              <w:t>Termination</w:t>
              <w:br/>
              <w:t>Without Good</w:t>
              <w:br/>
              <w:t>Cause</w:t>
              <w:br/>
              <w:t>or with Good</w:t>
              <w:br/>
              <w:t>Reason</w:t>
              <w:br/>
              <w:t xml:space="preserve">(Not in </w:t>
              <w:br/>
              <w:t>Connection</w:t>
              <w:br/>
              <w:t>with a Change</w:t>
              <w:br/>
              <w:t>in Control)</w:t>
              <w:br/>
              <w:t>($)</w:t>
            </w:r>
          </w:p>
        </w:tc>
        <w:tc>
          <w:tcPr>
            <w:tcW w:w="2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54" w:type="dxa"/>
            <w:gridSpan w:val="2"/>
            <w:tcBorders>
              <w:bottom w:val="single" w:sz="12" w:space="0" w:color="000000"/>
            </w:tcBorders>
            <w:vAlign w:val="center"/>
          </w:tcPr>
          <w:p>
            <w:pPr>
              <w:pStyle w:val="TableContents"/>
              <w:bidi w:val="0"/>
              <w:spacing w:before="0" w:after="283"/>
              <w:jc w:val="center"/>
              <w:rPr>
                <w:b/>
              </w:rPr>
            </w:pPr>
            <w:r>
              <w:rPr>
                <w:b/>
              </w:rPr>
              <w:t>Termination</w:t>
              <w:br/>
              <w:t>Without</w:t>
              <w:br/>
              <w:t>Good Cause</w:t>
              <w:br/>
              <w:t xml:space="preserve">or with </w:t>
              <w:br/>
              <w:t>Good Reason</w:t>
              <w:br/>
              <w:t>Following a</w:t>
              <w:br/>
              <w:t>Change in Control</w:t>
              <w:br/>
              <w:t>($)</w:t>
            </w:r>
          </w:p>
        </w:tc>
        <w:tc>
          <w:tcPr>
            <w:tcW w:w="2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39" w:type="dxa"/>
            <w:gridSpan w:val="2"/>
            <w:tcBorders>
              <w:bottom w:val="single" w:sz="12" w:space="0" w:color="000000"/>
            </w:tcBorders>
            <w:vAlign w:val="center"/>
          </w:tcPr>
          <w:p>
            <w:pPr>
              <w:pStyle w:val="TableContents"/>
              <w:bidi w:val="0"/>
              <w:spacing w:before="0" w:after="283"/>
              <w:jc w:val="center"/>
              <w:rPr>
                <w:b/>
              </w:rPr>
            </w:pPr>
            <w:r>
              <w:rPr>
                <w:b/>
              </w:rPr>
              <w:t>Termination by</w:t>
              <w:br/>
              <w:t>Reason of</w:t>
              <w:br/>
              <w:t>Death or</w:t>
              <w:br/>
              <w:t xml:space="preserve">Disability </w:t>
              <w:br/>
              <w:t>($)</w:t>
            </w:r>
          </w:p>
        </w:tc>
        <w:tc>
          <w:tcPr>
            <w:tcW w:w="320" w:type="dxa"/>
            <w:tcBorders/>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283"/>
              <w:jc w:val="left"/>
              <w:rPr/>
            </w:pPr>
            <w:r>
              <w:rPr/>
              <w:t>Cash severance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9" w:type="dxa"/>
            <w:tcBorders/>
            <w:shd w:fill="CCEEFF" w:val="clear"/>
            <w:tcMar>
              <w:bottom w:w="0" w:type="dxa"/>
            </w:tcMar>
            <w:vAlign w:val="center"/>
          </w:tcPr>
          <w:p>
            <w:pPr>
              <w:pStyle w:val="TableContents"/>
              <w:bidi w:val="0"/>
              <w:spacing w:before="0" w:after="283"/>
              <w:jc w:val="right"/>
              <w:rPr/>
            </w:pPr>
            <w:r>
              <w:rPr/>
              <w:t>1,178,362</w:t>
            </w:r>
          </w:p>
        </w:tc>
        <w:tc>
          <w:tcPr>
            <w:tcW w:w="27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795" w:type="dxa"/>
            <w:tcBorders/>
            <w:shd w:fill="CCEEFF" w:val="clear"/>
            <w:tcMar>
              <w:bottom w:w="0" w:type="dxa"/>
            </w:tcMar>
            <w:vAlign w:val="center"/>
          </w:tcPr>
          <w:p>
            <w:pPr>
              <w:pStyle w:val="TableContents"/>
              <w:bidi w:val="0"/>
              <w:spacing w:before="0" w:after="283"/>
              <w:jc w:val="right"/>
              <w:rPr/>
            </w:pPr>
            <w:r>
              <w:rPr/>
              <w:t>1,176,575</w:t>
            </w:r>
          </w:p>
        </w:tc>
        <w:tc>
          <w:tcPr>
            <w:tcW w:w="27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pPr>
            <w:r>
              <w:rPr/>
              <w:t>250,000</w:t>
            </w:r>
          </w:p>
        </w:tc>
        <w:tc>
          <w:tcPr>
            <w:tcW w:w="32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r>
      <w:tr>
        <w:trPr/>
        <w:tc>
          <w:tcPr>
            <w:tcW w:w="3425" w:type="dxa"/>
            <w:tcBorders/>
            <w:tcMar>
              <w:bottom w:w="0" w:type="dxa"/>
            </w:tcMar>
            <w:vAlign w:val="center"/>
          </w:tcPr>
          <w:p>
            <w:pPr>
              <w:pStyle w:val="TableContents"/>
              <w:bidi w:val="0"/>
              <w:spacing w:before="0" w:after="283"/>
              <w:jc w:val="left"/>
              <w:rPr>
                <w:sz w:val="20"/>
              </w:rPr>
            </w:pPr>
            <w:r>
              <w:rPr>
                <w:sz w:val="20"/>
              </w:rPr>
              <w:t>Equity awards</w:t>
            </w:r>
            <w:r>
              <w:rPr>
                <w:position w:val="7"/>
                <w:sz w:val="16"/>
                <w:sz w:val="20"/>
              </w:rPr>
              <w:t>(4)</w:t>
            </w:r>
          </w:p>
        </w:tc>
        <w:tc>
          <w:tcPr>
            <w:tcW w:w="9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1409" w:type="dxa"/>
            <w:tcBorders/>
            <w:tcMar>
              <w:bottom w:w="0" w:type="dxa"/>
            </w:tcMar>
            <w:vAlign w:val="center"/>
          </w:tcPr>
          <w:p>
            <w:pPr>
              <w:pStyle w:val="TableContents"/>
              <w:bidi w:val="0"/>
              <w:spacing w:before="0" w:after="283"/>
              <w:jc w:val="right"/>
              <w:rPr/>
            </w:pPr>
            <w:r>
              <w:rPr/>
              <w:t>5,962</w:t>
            </w:r>
          </w:p>
        </w:tc>
        <w:tc>
          <w:tcPr>
            <w:tcW w:w="2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9" w:type="dxa"/>
            <w:tcBorders/>
            <w:tcMar>
              <w:bottom w:w="0" w:type="dxa"/>
            </w:tcMar>
            <w:vAlign w:val="center"/>
          </w:tcPr>
          <w:p>
            <w:pPr>
              <w:pStyle w:val="TableContents"/>
              <w:bidi w:val="0"/>
              <w:spacing w:before="0" w:after="283"/>
              <w:jc w:val="left"/>
              <w:rPr/>
            </w:pPr>
            <w:r>
              <w:rPr/>
              <w:t> </w:t>
            </w:r>
          </w:p>
        </w:tc>
        <w:tc>
          <w:tcPr>
            <w:tcW w:w="1795" w:type="dxa"/>
            <w:tcBorders/>
            <w:tcMar>
              <w:bottom w:w="0" w:type="dxa"/>
            </w:tcMar>
            <w:vAlign w:val="center"/>
          </w:tcPr>
          <w:p>
            <w:pPr>
              <w:pStyle w:val="TableContents"/>
              <w:bidi w:val="0"/>
              <w:spacing w:before="0" w:after="283"/>
              <w:jc w:val="right"/>
              <w:rPr/>
            </w:pPr>
            <w:r>
              <w:rPr/>
              <w:t>5,962</w:t>
            </w:r>
          </w:p>
        </w:tc>
        <w:tc>
          <w:tcPr>
            <w:tcW w:w="2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9" w:type="dxa"/>
            <w:tcBorders/>
            <w:tcMar>
              <w:bottom w:w="0" w:type="dxa"/>
            </w:tcMar>
            <w:vAlign w:val="center"/>
          </w:tcPr>
          <w:p>
            <w:pPr>
              <w:pStyle w:val="TableContents"/>
              <w:bidi w:val="0"/>
              <w:spacing w:before="0" w:after="283"/>
              <w:jc w:val="left"/>
              <w:rPr/>
            </w:pPr>
            <w:r>
              <w:rPr/>
              <w:t> </w:t>
            </w:r>
          </w:p>
        </w:tc>
        <w:tc>
          <w:tcPr>
            <w:tcW w:w="1480" w:type="dxa"/>
            <w:tcBorders/>
            <w:tcMar>
              <w:bottom w:w="0" w:type="dxa"/>
            </w:tcMar>
            <w:vAlign w:val="center"/>
          </w:tcPr>
          <w:p>
            <w:pPr>
              <w:pStyle w:val="TableContents"/>
              <w:bidi w:val="0"/>
              <w:spacing w:before="0" w:after="283"/>
              <w:jc w:val="right"/>
              <w:rPr/>
            </w:pPr>
            <w:r>
              <w:rPr/>
              <w:t>5,962</w:t>
            </w:r>
          </w:p>
        </w:tc>
        <w:tc>
          <w:tcPr>
            <w:tcW w:w="3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sz w:val="20"/>
              </w:rPr>
            </w:pPr>
            <w:r>
              <w:rPr>
                <w:sz w:val="20"/>
              </w:rPr>
              <w:t>(1)</w:t>
            </w:r>
          </w:p>
        </w:tc>
        <w:tc>
          <w:tcPr>
            <w:tcW w:w="9956" w:type="dxa"/>
            <w:tcBorders/>
            <w:vAlign w:val="center"/>
          </w:tcPr>
          <w:p>
            <w:pPr>
              <w:pStyle w:val="TableContents"/>
              <w:bidi w:val="0"/>
              <w:spacing w:before="0" w:after="283"/>
              <w:jc w:val="left"/>
              <w:rPr>
                <w:sz w:val="20"/>
              </w:rPr>
            </w:pPr>
            <w:r>
              <w:rPr>
                <w:sz w:val="20"/>
              </w:rPr>
              <w:t xml:space="preserve">Consists of payments due to executive for (i) eighteen (18) months of his then current salary, (ii) 150% target annual incentive compensation, (iii) health and welfare benefits for twenty-four (24) months, (iv) unused PTO, and (v) any annual short-term incentive compensation earned from the prior year that had not yet been paid by the Company.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sz w:val="20"/>
              </w:rPr>
            </w:pPr>
            <w:r>
              <w:rPr>
                <w:sz w:val="20"/>
              </w:rPr>
              <w:t>(2)</w:t>
            </w:r>
          </w:p>
        </w:tc>
        <w:tc>
          <w:tcPr>
            <w:tcW w:w="9952" w:type="dxa"/>
            <w:tcBorders/>
            <w:vAlign w:val="center"/>
          </w:tcPr>
          <w:p>
            <w:pPr>
              <w:pStyle w:val="TableContents"/>
              <w:bidi w:val="0"/>
              <w:spacing w:before="0" w:after="283"/>
              <w:jc w:val="left"/>
              <w:rPr>
                <w:sz w:val="20"/>
              </w:rPr>
            </w:pPr>
            <w:r>
              <w:rPr>
                <w:sz w:val="20"/>
              </w:rPr>
              <w:t xml:space="preserve">Consists of payments due to executive for (i) eighteen (18) months of his then current salary, (ii) 150% target annual incentive compensation, (iii) unused PTO, and (iv) any annual short-term incentive compensation earned from the prior year that had not yet been paid by the Company. </w:t>
            </w:r>
          </w:p>
        </w:tc>
      </w:tr>
    </w:tbl>
    <w:p>
      <w:pPr>
        <w:pStyle w:val="TextBody"/>
        <w:bidi w:val="0"/>
        <w:spacing w:before="0" w:after="0"/>
        <w:ind w:left="0" w:right="0" w:hanging="0"/>
        <w:jc w:val="left"/>
        <w:rPr>
          <w:caps w:val="false"/>
          <w:smallCaps w:val="false"/>
        </w:rPr>
      </w:pPr>
      <w:r>
        <w:rPr>
          <w:caps w:val="false"/>
          <w:smallCaps w:val="false"/>
        </w:rPr>
        <w:t> </w:t>
      </w:r>
    </w:p>
    <w:tbl>
      <w:tblPr>
        <w:tblW w:w="8305" w:type="dxa"/>
        <w:jc w:val="left"/>
        <w:tblInd w:w="0" w:type="dxa"/>
        <w:tblLayout w:type="fixed"/>
        <w:tblCellMar>
          <w:top w:w="0" w:type="dxa"/>
          <w:left w:w="0" w:type="dxa"/>
          <w:bottom w:w="0" w:type="dxa"/>
          <w:right w:w="0" w:type="dxa"/>
        </w:tblCellMar>
      </w:tblPr>
      <w:tblGrid>
        <w:gridCol w:w="290"/>
        <w:gridCol w:w="8015"/>
      </w:tblGrid>
      <w:tr>
        <w:trPr/>
        <w:tc>
          <w:tcPr>
            <w:tcW w:w="290" w:type="dxa"/>
            <w:tcBorders/>
            <w:vAlign w:val="center"/>
          </w:tcPr>
          <w:p>
            <w:pPr>
              <w:pStyle w:val="TableContents"/>
              <w:bidi w:val="0"/>
              <w:spacing w:before="0" w:after="283"/>
              <w:jc w:val="left"/>
              <w:rPr>
                <w:sz w:val="20"/>
              </w:rPr>
            </w:pPr>
            <w:r>
              <w:rPr>
                <w:sz w:val="20"/>
              </w:rPr>
              <w:t>(3)</w:t>
            </w:r>
          </w:p>
        </w:tc>
        <w:tc>
          <w:tcPr>
            <w:tcW w:w="8015" w:type="dxa"/>
            <w:tcBorders/>
            <w:vAlign w:val="center"/>
          </w:tcPr>
          <w:p>
            <w:pPr>
              <w:pStyle w:val="TableContents"/>
              <w:bidi w:val="0"/>
              <w:spacing w:before="0" w:after="283"/>
              <w:jc w:val="left"/>
              <w:rPr>
                <w:sz w:val="20"/>
              </w:rPr>
            </w:pPr>
            <w:r>
              <w:rPr>
                <w:sz w:val="20"/>
              </w:rPr>
              <w:t xml:space="preserve">Represents full annual incentive compensation that would be prorated based on termination date.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sz w:val="20"/>
              </w:rPr>
            </w:pPr>
            <w:r>
              <w:rPr>
                <w:sz w:val="20"/>
              </w:rPr>
              <w:t>(4)</w:t>
            </w:r>
          </w:p>
        </w:tc>
        <w:tc>
          <w:tcPr>
            <w:tcW w:w="9948" w:type="dxa"/>
            <w:tcBorders/>
            <w:vAlign w:val="center"/>
          </w:tcPr>
          <w:p>
            <w:pPr>
              <w:pStyle w:val="TableContents"/>
              <w:bidi w:val="0"/>
              <w:spacing w:before="0" w:after="283"/>
              <w:jc w:val="left"/>
              <w:rPr>
                <w:sz w:val="20"/>
              </w:rPr>
            </w:pPr>
            <w:r>
              <w:rPr>
                <w:sz w:val="20"/>
              </w:rPr>
              <w:t>Represents the value of unvested equity awards that would become fully vested. The value is calculated by multiplying the number of shares underlying each accelerated award by the per share closing price of the common stock on December 31,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Nonqualified Defined Contribution and Nonqualified Deferred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offer any nonqualified defined contribution plans or nonqualified deferred compensation plans for any of our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Limitation of Directors’ Liability; Indemnification of Directors, Officers, Employees, and Agents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Incorporation and bylaws, each as amended, provide that we may indemnify to the full extent of our power to do so, all directors, officers, employees, and/or agents. The effect of this provision in the Amended and Restated Articles of Incorporation, as amended, is to eliminate the rights of our company and our stockholders, either directly or through stockholders’ derivative suits brought on behalf of our company, to recover monetary damages from a director for breach of the fiduciary duty of care as a director except in those instances described under Nevada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by our company for liabilities arising under the Securities Act of 1933, as amended (the “Securities Act”), may be permitted to officers and directors of our company pursuant to the foregoing provisions or otherwise, we are aware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compensate our non-employee directors with a combination of cash and equity. Our Board of Directors receives the following cash compensation for their service: each director receives an annual cash retainer of $57,500; the chairperson of the Board receives an additional $22,500 annual cash retainer; the chairperson of our Audit Committee receives an annual cash retainer of $30,000 and the other members of the Audit Committee receive an annual cash retainer of $15,000; the chairperson of the Compensation Committee receives an annual cash retainer of $20,000 and the other members of the Compensation Committee receive an annual cash retainer of $12,000; and the chairperson of each of our other committees receives an annual cash retainer of $12,500 and the other members receive an annual cash retainer of $7,500. We also reimburse our directors for reasonable expenses related to attendance at Board of Directors and committee meetings. No directors were granted equity awards during 2024. We do not pay our directors per meeting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and accompanying footnotes detail compensation paid to our directors for services rendered for the year ended December 31, 2024. Mr. Roberts is entitled to receive compensation in the same manner as our other non-employee directors, but he has elected not to receive any compensation for his service as a non-employee director at this time.</w:t>
      </w:r>
    </w:p>
    <w:p>
      <w:pPr>
        <w:pStyle w:val="TextBody"/>
        <w:bidi w:val="0"/>
        <w:spacing w:before="0" w:after="0"/>
        <w:ind w:left="0" w:right="0" w:hanging="0"/>
        <w:jc w:val="left"/>
        <w:rPr>
          <w:caps w:val="false"/>
          <w:smallCaps w:val="false"/>
        </w:rPr>
      </w:pPr>
      <w:r>
        <w:rPr>
          <w:caps w:val="false"/>
          <w:smallCaps w:val="false"/>
        </w:rPr>
        <w:t> </w:t>
      </w:r>
    </w:p>
    <w:tbl>
      <w:tblPr>
        <w:tblW w:w="8039" w:type="dxa"/>
        <w:jc w:val="left"/>
        <w:tblInd w:w="0" w:type="dxa"/>
        <w:tblLayout w:type="fixed"/>
        <w:tblCellMar>
          <w:top w:w="0" w:type="dxa"/>
          <w:left w:w="0" w:type="dxa"/>
          <w:bottom w:w="28" w:type="dxa"/>
          <w:right w:w="0" w:type="dxa"/>
        </w:tblCellMar>
      </w:tblPr>
      <w:tblGrid>
        <w:gridCol w:w="2315"/>
        <w:gridCol w:w="90"/>
        <w:gridCol w:w="160"/>
        <w:gridCol w:w="1479"/>
        <w:gridCol w:w="275"/>
        <w:gridCol w:w="90"/>
        <w:gridCol w:w="290"/>
        <w:gridCol w:w="405"/>
        <w:gridCol w:w="90"/>
        <w:gridCol w:w="90"/>
        <w:gridCol w:w="300"/>
        <w:gridCol w:w="1220"/>
        <w:gridCol w:w="90"/>
        <w:gridCol w:w="90"/>
        <w:gridCol w:w="90"/>
        <w:gridCol w:w="830"/>
        <w:gridCol w:w="135"/>
      </w:tblGrid>
      <w:tr>
        <w:trPr/>
        <w:tc>
          <w:tcPr>
            <w:tcW w:w="2315" w:type="dxa"/>
            <w:tcBorders>
              <w:bottom w:val="single" w:sz="12" w:space="0" w:color="000000"/>
            </w:tcBorders>
            <w:vAlign w:val="center"/>
          </w:tcPr>
          <w:p>
            <w:pPr>
              <w:pStyle w:val="TableContents"/>
              <w:bidi w:val="0"/>
              <w:spacing w:before="0" w:after="283"/>
              <w:jc w:val="left"/>
              <w:rPr>
                <w:b/>
                <w:sz w:val="20"/>
              </w:rPr>
            </w:pPr>
            <w:r>
              <w:rPr>
                <w:b/>
                <w:sz w:val="20"/>
              </w:rPr>
              <w:t>Name</w:t>
            </w:r>
            <w:r>
              <w:rPr>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639" w:type="dxa"/>
            <w:gridSpan w:val="2"/>
            <w:tcBorders>
              <w:bottom w:val="single" w:sz="12" w:space="0" w:color="000000"/>
            </w:tcBorders>
            <w:vAlign w:val="center"/>
          </w:tcPr>
          <w:p>
            <w:pPr>
              <w:pStyle w:val="TableContents"/>
              <w:bidi w:val="0"/>
              <w:spacing w:before="0" w:after="283"/>
              <w:jc w:val="center"/>
              <w:rPr>
                <w:b/>
              </w:rPr>
            </w:pPr>
            <w:r>
              <w:rPr>
                <w:b/>
              </w:rPr>
              <w:t>Fees Earned</w:t>
              <w:br/>
              <w:t>or Paid in Cash</w:t>
              <w:br/>
              <w:t>($)</w:t>
            </w:r>
          </w:p>
        </w:tc>
        <w:tc>
          <w:tcPr>
            <w:tcW w:w="2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12" w:space="0" w:color="000000"/>
            </w:tcBorders>
            <w:vAlign w:val="center"/>
          </w:tcPr>
          <w:p>
            <w:pPr>
              <w:pStyle w:val="TableContents"/>
              <w:bidi w:val="0"/>
              <w:spacing w:before="0" w:after="283"/>
              <w:jc w:val="center"/>
              <w:rPr>
                <w:b/>
                <w:sz w:val="20"/>
              </w:rPr>
            </w:pPr>
            <w:r>
              <w:rPr>
                <w:b/>
                <w:sz w:val="20"/>
              </w:rPr>
              <w:t>Stock</w:t>
              <w:br/>
              <w:t>Awards</w:t>
            </w:r>
            <w:r>
              <w:rPr>
                <w:b/>
                <w:position w:val="7"/>
                <w:sz w:val="16"/>
                <w:sz w:val="20"/>
              </w:rPr>
              <w:br/>
            </w:r>
            <w:r>
              <w:rPr>
                <w:b/>
                <w:sz w:val="20"/>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All Other</w:t>
              <w:br/>
              <w:t>Compensation</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Total</w:t>
              <w:br/>
              <w:t>($)</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b/>
              </w:rPr>
            </w:pPr>
            <w:r>
              <w:rPr>
                <w:b/>
              </w:rPr>
              <w:t>Tommy G. Thompson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479" w:type="dxa"/>
            <w:tcBorders/>
            <w:shd w:fill="CCEEFF" w:val="clear"/>
            <w:tcMar>
              <w:bottom w:w="0" w:type="dxa"/>
            </w:tcMar>
            <w:vAlign w:val="center"/>
          </w:tcPr>
          <w:p>
            <w:pPr>
              <w:pStyle w:val="TableContents"/>
              <w:bidi w:val="0"/>
              <w:spacing w:before="0" w:after="283"/>
              <w:jc w:val="right"/>
              <w:rPr/>
            </w:pPr>
            <w:r>
              <w:rPr/>
              <w:t>101,758</w:t>
            </w:r>
          </w:p>
        </w:tc>
        <w:tc>
          <w:tcPr>
            <w:tcW w:w="27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101,758</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15" w:type="dxa"/>
            <w:tcBorders/>
            <w:tcMar>
              <w:bottom w:w="0" w:type="dxa"/>
            </w:tcMar>
            <w:vAlign w:val="center"/>
          </w:tcPr>
          <w:p>
            <w:pPr>
              <w:pStyle w:val="TableContents"/>
              <w:bidi w:val="0"/>
              <w:spacing w:before="0" w:after="283"/>
              <w:jc w:val="left"/>
              <w:rPr>
                <w:b/>
              </w:rPr>
            </w:pPr>
            <w:r>
              <w:rPr>
                <w:b/>
              </w:rPr>
              <w:t>Cooper C. Collins</w:t>
            </w:r>
          </w:p>
        </w:tc>
        <w:tc>
          <w:tcPr>
            <w:tcW w:w="90" w:type="dxa"/>
            <w:tcBorders/>
            <w:tcMar>
              <w:bottom w:w="0" w:type="dxa"/>
            </w:tcMar>
            <w:vAlign w:val="center"/>
          </w:tcPr>
          <w:p>
            <w:pPr>
              <w:pStyle w:val="TableContents"/>
              <w:bidi w:val="0"/>
              <w:spacing w:before="0" w:after="283"/>
              <w:jc w:val="left"/>
              <w:rPr/>
            </w:pPr>
            <w:r>
              <w:rPr/>
              <w:t> </w:t>
            </w:r>
          </w:p>
        </w:tc>
        <w:tc>
          <w:tcPr>
            <w:tcW w:w="160" w:type="dxa"/>
            <w:tcBorders/>
            <w:tcMar>
              <w:bottom w:w="0" w:type="dxa"/>
            </w:tcMar>
            <w:vAlign w:val="center"/>
          </w:tcPr>
          <w:p>
            <w:pPr>
              <w:pStyle w:val="TableContents"/>
              <w:bidi w:val="0"/>
              <w:spacing w:before="0" w:after="283"/>
              <w:jc w:val="left"/>
              <w:rPr/>
            </w:pPr>
            <w:r>
              <w:rPr/>
              <w:t> </w:t>
            </w:r>
          </w:p>
        </w:tc>
        <w:tc>
          <w:tcPr>
            <w:tcW w:w="1479" w:type="dxa"/>
            <w:tcBorders/>
            <w:tcMar>
              <w:bottom w:w="0" w:type="dxa"/>
            </w:tcMar>
            <w:vAlign w:val="center"/>
          </w:tcPr>
          <w:p>
            <w:pPr>
              <w:pStyle w:val="TableContents"/>
              <w:bidi w:val="0"/>
              <w:spacing w:before="0" w:after="283"/>
              <w:jc w:val="right"/>
              <w:rPr/>
            </w:pPr>
            <w:r>
              <w:rPr/>
              <w:t>99,500</w:t>
            </w:r>
          </w:p>
        </w:tc>
        <w:tc>
          <w:tcPr>
            <w:tcW w:w="2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99,500</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b/>
              </w:rPr>
            </w:pPr>
            <w:r>
              <w:rPr>
                <w:b/>
              </w:rPr>
              <w:t>Gail Naughton, Ph.D.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479" w:type="dxa"/>
            <w:tcBorders/>
            <w:shd w:fill="CCEEFF" w:val="clear"/>
            <w:tcMar>
              <w:bottom w:w="0" w:type="dxa"/>
            </w:tcMar>
            <w:vAlign w:val="center"/>
          </w:tcPr>
          <w:p>
            <w:pPr>
              <w:pStyle w:val="TableContents"/>
              <w:bidi w:val="0"/>
              <w:spacing w:before="0" w:after="283"/>
              <w:jc w:val="right"/>
              <w:rPr/>
            </w:pPr>
            <w:r>
              <w:rPr/>
              <w:t>77,500</w:t>
            </w:r>
          </w:p>
        </w:tc>
        <w:tc>
          <w:tcPr>
            <w:tcW w:w="2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77,500</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15" w:type="dxa"/>
            <w:tcBorders/>
            <w:tcMar>
              <w:bottom w:w="0" w:type="dxa"/>
            </w:tcMar>
            <w:vAlign w:val="center"/>
          </w:tcPr>
          <w:p>
            <w:pPr>
              <w:pStyle w:val="TableContents"/>
              <w:bidi w:val="0"/>
              <w:spacing w:before="0" w:after="283"/>
              <w:jc w:val="left"/>
              <w:rPr>
                <w:b/>
              </w:rPr>
            </w:pPr>
            <w:r>
              <w:rPr>
                <w:b/>
              </w:rPr>
              <w:t>Justin Roberts</w:t>
            </w:r>
          </w:p>
        </w:tc>
        <w:tc>
          <w:tcPr>
            <w:tcW w:w="90" w:type="dxa"/>
            <w:tcBorders/>
            <w:tcMar>
              <w:bottom w:w="0" w:type="dxa"/>
            </w:tcMar>
            <w:vAlign w:val="center"/>
          </w:tcPr>
          <w:p>
            <w:pPr>
              <w:pStyle w:val="TableContents"/>
              <w:bidi w:val="0"/>
              <w:spacing w:before="0" w:after="283"/>
              <w:jc w:val="left"/>
              <w:rPr/>
            </w:pPr>
            <w:r>
              <w:rPr/>
              <w:t> </w:t>
            </w:r>
          </w:p>
        </w:tc>
        <w:tc>
          <w:tcPr>
            <w:tcW w:w="160" w:type="dxa"/>
            <w:tcBorders/>
            <w:tcMar>
              <w:bottom w:w="0" w:type="dxa"/>
            </w:tcMar>
            <w:vAlign w:val="center"/>
          </w:tcPr>
          <w:p>
            <w:pPr>
              <w:pStyle w:val="TableContents"/>
              <w:bidi w:val="0"/>
              <w:spacing w:before="0" w:after="283"/>
              <w:jc w:val="left"/>
              <w:rPr/>
            </w:pPr>
            <w:r>
              <w:rPr/>
              <w:t> </w:t>
            </w:r>
          </w:p>
        </w:tc>
        <w:tc>
          <w:tcPr>
            <w:tcW w:w="1479" w:type="dxa"/>
            <w:tcBorders/>
            <w:tcMar>
              <w:bottom w:w="0" w:type="dxa"/>
            </w:tcMar>
            <w:vAlign w:val="center"/>
          </w:tcPr>
          <w:p>
            <w:pPr>
              <w:pStyle w:val="TableContents"/>
              <w:bidi w:val="0"/>
              <w:spacing w:before="0" w:after="283"/>
              <w:jc w:val="right"/>
              <w:rPr/>
            </w:pPr>
            <w:r>
              <w:rPr/>
              <w:t>-</w:t>
            </w:r>
          </w:p>
        </w:tc>
        <w:tc>
          <w:tcPr>
            <w:tcW w:w="2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sz w:val="20"/>
              </w:rPr>
            </w:pPr>
            <w:r>
              <w:rPr>
                <w:sz w:val="20"/>
              </w:rPr>
              <w:t>(1)</w:t>
            </w:r>
          </w:p>
        </w:tc>
        <w:tc>
          <w:tcPr>
            <w:tcW w:w="9920" w:type="dxa"/>
            <w:tcBorders/>
            <w:vAlign w:val="center"/>
          </w:tcPr>
          <w:p>
            <w:pPr>
              <w:pStyle w:val="TableContents"/>
              <w:bidi w:val="0"/>
              <w:spacing w:before="0" w:after="283"/>
              <w:jc w:val="left"/>
              <w:rPr>
                <w:sz w:val="20"/>
              </w:rPr>
            </w:pPr>
            <w:r>
              <w:rPr>
                <w:sz w:val="20"/>
              </w:rPr>
              <w:t xml:space="preserve">As of December 31, 2024, each of the directors listed in the “Director Compensation” table had the following awards outstanding: </w:t>
            </w:r>
          </w:p>
        </w:tc>
      </w:tr>
    </w:tbl>
    <w:p>
      <w:pPr>
        <w:pStyle w:val="TextBody"/>
        <w:bidi w:val="0"/>
        <w:spacing w:before="0" w:after="0"/>
        <w:ind w:left="0" w:right="0" w:hanging="0"/>
        <w:jc w:val="left"/>
        <w:rPr>
          <w:caps w:val="false"/>
          <w:smallCaps w:val="false"/>
        </w:rPr>
      </w:pPr>
      <w:r>
        <w:rPr>
          <w:caps w:val="false"/>
          <w:smallCaps w:val="false"/>
        </w:rPr>
        <w:t> </w:t>
      </w:r>
    </w:p>
    <w:tbl>
      <w:tblPr>
        <w:tblW w:w="4440" w:type="dxa"/>
        <w:jc w:val="left"/>
        <w:tblInd w:w="0" w:type="dxa"/>
        <w:tblLayout w:type="fixed"/>
        <w:tblCellMar>
          <w:top w:w="0" w:type="dxa"/>
          <w:left w:w="0" w:type="dxa"/>
          <w:bottom w:w="28" w:type="dxa"/>
          <w:right w:w="0" w:type="dxa"/>
        </w:tblCellMar>
      </w:tblPr>
      <w:tblGrid>
        <w:gridCol w:w="2315"/>
        <w:gridCol w:w="90"/>
        <w:gridCol w:w="113"/>
        <w:gridCol w:w="747"/>
        <w:gridCol w:w="90"/>
        <w:gridCol w:w="90"/>
        <w:gridCol w:w="113"/>
        <w:gridCol w:w="747"/>
        <w:gridCol w:w="135"/>
      </w:tblGrid>
      <w:tr>
        <w:trPr/>
        <w:tc>
          <w:tcPr>
            <w:tcW w:w="2315" w:type="dxa"/>
            <w:tcBorders>
              <w:bottom w:val="single" w:sz="12" w:space="0" w:color="000000"/>
            </w:tcBorders>
            <w:vAlign w:val="center"/>
          </w:tcPr>
          <w:p>
            <w:pPr>
              <w:pStyle w:val="TableContents"/>
              <w:bidi w:val="0"/>
              <w:spacing w:before="0" w:after="283"/>
              <w:jc w:val="left"/>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Option</w:t>
              <w:br/>
              <w:t>Awards</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Stock</w:t>
              <w:br/>
              <w:t>Awards</w:t>
              <w:br/>
              <w:t>(#)</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b/>
              </w:rPr>
            </w:pPr>
            <w:r>
              <w:rPr>
                <w:b/>
              </w:rPr>
              <w:t>Tommy G. Thompson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747" w:type="dxa"/>
            <w:tcBorders/>
            <w:shd w:fill="CCEEFF" w:val="clear"/>
            <w:tcMar>
              <w:bottom w:w="0" w:type="dxa"/>
            </w:tcMar>
            <w:vAlign w:val="center"/>
          </w:tcPr>
          <w:p>
            <w:pPr>
              <w:pStyle w:val="TableContents"/>
              <w:bidi w:val="0"/>
              <w:spacing w:before="0" w:after="283"/>
              <w:jc w:val="right"/>
              <w:rPr/>
            </w:pPr>
            <w:r>
              <w:rPr/>
              <w:t>7,250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747" w:type="dxa"/>
            <w:tcBorders/>
            <w:shd w:fill="CCEEFF" w:val="clear"/>
            <w:tcMar>
              <w:bottom w:w="0" w:type="dxa"/>
            </w:tcMar>
            <w:vAlign w:val="center"/>
          </w:tcPr>
          <w:p>
            <w:pPr>
              <w:pStyle w:val="TableContents"/>
              <w:bidi w:val="0"/>
              <w:spacing w:before="0" w:after="283"/>
              <w:jc w:val="right"/>
              <w:rPr/>
            </w:pPr>
            <w:r>
              <w:rPr/>
              <w:t>8,500</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15" w:type="dxa"/>
            <w:tcBorders/>
            <w:tcMar>
              <w:bottom w:w="0" w:type="dxa"/>
            </w:tcMar>
            <w:vAlign w:val="center"/>
          </w:tcPr>
          <w:p>
            <w:pPr>
              <w:pStyle w:val="TableContents"/>
              <w:bidi w:val="0"/>
              <w:spacing w:before="0" w:after="283"/>
              <w:jc w:val="left"/>
              <w:rPr>
                <w:b/>
              </w:rPr>
            </w:pPr>
            <w:r>
              <w:rPr>
                <w:b/>
              </w:rPr>
              <w:t>Cooper C. Collins</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747" w:type="dxa"/>
            <w:tcBorders/>
            <w:tcMar>
              <w:bottom w:w="0" w:type="dxa"/>
            </w:tcMar>
            <w:vAlign w:val="center"/>
          </w:tcPr>
          <w:p>
            <w:pPr>
              <w:pStyle w:val="TableContents"/>
              <w:bidi w:val="0"/>
              <w:spacing w:before="0" w:after="283"/>
              <w:jc w:val="right"/>
              <w:rPr/>
            </w:pPr>
            <w:r>
              <w:rPr/>
              <w:t>5,000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747" w:type="dxa"/>
            <w:tcBorders/>
            <w:tcMar>
              <w:bottom w:w="0" w:type="dxa"/>
            </w:tcMar>
            <w:vAlign w:val="center"/>
          </w:tcPr>
          <w:p>
            <w:pPr>
              <w:pStyle w:val="TableContents"/>
              <w:bidi w:val="0"/>
              <w:spacing w:before="0" w:after="283"/>
              <w:jc w:val="right"/>
              <w:rPr/>
            </w:pPr>
            <w:r>
              <w:rPr/>
              <w:t>8,500</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b/>
              </w:rPr>
            </w:pPr>
            <w:r>
              <w:rPr>
                <w:b/>
              </w:rPr>
              <w:t>Gail Naughton, Ph.D.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74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747" w:type="dxa"/>
            <w:tcBorders/>
            <w:shd w:fill="CCEEFF" w:val="clear"/>
            <w:tcMar>
              <w:bottom w:w="0" w:type="dxa"/>
            </w:tcMar>
            <w:vAlign w:val="center"/>
          </w:tcPr>
          <w:p>
            <w:pPr>
              <w:pStyle w:val="TableContents"/>
              <w:bidi w:val="0"/>
              <w:spacing w:before="0" w:after="283"/>
              <w:jc w:val="right"/>
              <w:rPr/>
            </w:pPr>
            <w:r>
              <w:rPr/>
              <w:t>8,500</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15" w:type="dxa"/>
            <w:tcBorders/>
            <w:tcMar>
              <w:bottom w:w="0" w:type="dxa"/>
            </w:tcMar>
            <w:vAlign w:val="center"/>
          </w:tcPr>
          <w:p>
            <w:pPr>
              <w:pStyle w:val="TableContents"/>
              <w:bidi w:val="0"/>
              <w:spacing w:before="0" w:after="283"/>
              <w:jc w:val="left"/>
              <w:rPr>
                <w:b/>
              </w:rPr>
            </w:pPr>
            <w:r>
              <w:rPr>
                <w:b/>
              </w:rPr>
              <w:t>Justin Roberts</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747"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747"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awards listed above include 8,500 restricted stock units that were vested but not settled as of December 31, 2024, for each of Mr. Thompson, Mr. Collins and Dr. Naughton, respectively.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sz w:val="20"/>
              </w:rPr>
            </w:pPr>
            <w:r>
              <w:rPr>
                <w:sz w:val="20"/>
              </w:rPr>
              <w:t>(2)</w:t>
            </w:r>
          </w:p>
        </w:tc>
        <w:tc>
          <w:tcPr>
            <w:tcW w:w="9918" w:type="dxa"/>
            <w:tcBorders/>
            <w:vAlign w:val="center"/>
          </w:tcPr>
          <w:p>
            <w:pPr>
              <w:pStyle w:val="TableContents"/>
              <w:bidi w:val="0"/>
              <w:spacing w:before="0" w:after="283"/>
              <w:jc w:val="left"/>
              <w:rPr>
                <w:sz w:val="20"/>
              </w:rPr>
            </w:pPr>
            <w:r>
              <w:rPr>
                <w:sz w:val="20"/>
              </w:rPr>
              <w:t>Reflects proration of Executive Chairman retainer for the portion of 2024 that Mr. Thompson served as Executive Chairman.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 xml:space="preserve">Item 12. Security Ownership of Certain Beneficial Owners and Management and Related Stockholder Matters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SECURITY OWNERSHIP OF PRINCIPAL STOCKHOLDERS, DIRECTORS, AND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common stock as of April 18, 2025, by the following:</w:t>
      </w:r>
    </w:p>
    <w:p>
      <w:pPr>
        <w:pStyle w:val="TextBody"/>
        <w:bidi w:val="0"/>
        <w:spacing w:before="0" w:after="0"/>
        <w:ind w:left="0" w:right="0" w:hanging="0"/>
        <w:jc w:val="left"/>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68"/>
        <w:gridCol w:w="200"/>
        <w:gridCol w:w="42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sz w:val="20"/>
              </w:rPr>
            </w:pPr>
            <w:r>
              <w:rPr>
                <w:sz w:val="20"/>
              </w:rPr>
              <w:t>each of our directors and named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68"/>
        <w:gridCol w:w="200"/>
        <w:gridCol w:w="46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both"/>
              <w:rPr>
                <w:sz w:val="20"/>
              </w:rPr>
            </w:pPr>
            <w:r>
              <w:rPr>
                <w:sz w:val="20"/>
              </w:rPr>
              <w:t>all of our directors and executive officers as a group; and</w:t>
            </w:r>
          </w:p>
        </w:tc>
      </w:tr>
    </w:tbl>
    <w:p>
      <w:pPr>
        <w:pStyle w:val="TextBody"/>
        <w:bidi w:val="0"/>
        <w:spacing w:before="0" w:after="0"/>
        <w:ind w:left="0" w:right="0" w:hanging="0"/>
        <w:jc w:val="left"/>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68"/>
        <w:gridCol w:w="200"/>
        <w:gridCol w:w="97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both"/>
              <w:rPr>
                <w:sz w:val="20"/>
              </w:rPr>
            </w:pPr>
            <w:r>
              <w:rPr>
                <w:sz w:val="20"/>
              </w:rPr>
              <w:t>each person, or group of affiliated persons, who is known by us to beneficially own more than 5%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and generally means that a person has beneficial ownership of a security if he, she, or it possesses sole or shared voting or investment power of that security, including options and warrants that are currently exercisable or exercisable within sixty (60) days of April 18, 2025. Shares issuable pursuant to stock options, warrants, and convertible securities are deemed outstanding for computing the percentage of the person holding such options, warrants, or convertible securities but are not deemed outstanding for computing the percentage of any other person.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listed in the table below is c/o TherapeuticsMD, Inc., 951 Yamato Road, Suite 220, Boca Raton, Florida 33431.</w:t>
      </w:r>
    </w:p>
    <w:p>
      <w:pPr>
        <w:pStyle w:val="TextBody"/>
        <w:bidi w:val="0"/>
        <w:spacing w:before="0" w:after="0"/>
        <w:ind w:left="0" w:right="0" w:hanging="0"/>
        <w:jc w:val="left"/>
        <w:rPr>
          <w:caps w:val="false"/>
          <w:smallCaps w:val="false"/>
        </w:rPr>
      </w:pPr>
      <w:r>
        <w:rPr>
          <w:caps w:val="false"/>
          <w:smallCaps w:val="false"/>
        </w:rPr>
        <w:t> </w:t>
      </w:r>
    </w:p>
    <w:tbl>
      <w:tblPr>
        <w:tblW w:w="8041" w:type="dxa"/>
        <w:jc w:val="left"/>
        <w:tblInd w:w="0" w:type="dxa"/>
        <w:tblLayout w:type="fixed"/>
        <w:tblCellMar>
          <w:top w:w="0" w:type="dxa"/>
          <w:left w:w="0" w:type="dxa"/>
          <w:bottom w:w="0" w:type="dxa"/>
          <w:right w:w="0" w:type="dxa"/>
        </w:tblCellMar>
      </w:tblPr>
      <w:tblGrid>
        <w:gridCol w:w="4835"/>
        <w:gridCol w:w="90"/>
        <w:gridCol w:w="135"/>
        <w:gridCol w:w="1517"/>
        <w:gridCol w:w="135"/>
        <w:gridCol w:w="135"/>
        <w:gridCol w:w="145"/>
        <w:gridCol w:w="759"/>
        <w:gridCol w:w="290"/>
      </w:tblGrid>
      <w:tr>
        <w:trPr/>
        <w:tc>
          <w:tcPr>
            <w:tcW w:w="4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2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Shares Beneficially Owned</w:t>
            </w:r>
          </w:p>
        </w:tc>
        <w:tc>
          <w:tcPr>
            <w:tcW w:w="290" w:type="dxa"/>
            <w:tcBorders/>
            <w:vAlign w:val="center"/>
          </w:tcPr>
          <w:p>
            <w:pPr>
              <w:pStyle w:val="TableContents"/>
              <w:bidi w:val="0"/>
              <w:spacing w:before="0" w:after="283"/>
              <w:jc w:val="left"/>
              <w:rPr/>
            </w:pPr>
            <w:r>
              <w:rPr/>
              <w:t> </w:t>
            </w:r>
          </w:p>
        </w:tc>
      </w:tr>
      <w:tr>
        <w:trPr/>
        <w:tc>
          <w:tcPr>
            <w:tcW w:w="4835" w:type="dxa"/>
            <w:tcBorders>
              <w:bottom w:val="single" w:sz="12" w:space="0" w:color="000000"/>
            </w:tcBorders>
            <w:tcMar>
              <w:bottom w:w="28" w:type="dxa"/>
            </w:tcMar>
            <w:vAlign w:val="center"/>
          </w:tcPr>
          <w:p>
            <w:pPr>
              <w:pStyle w:val="TableContents"/>
              <w:bidi w:val="0"/>
              <w:spacing w:before="0" w:after="283"/>
              <w:jc w:val="left"/>
              <w:rPr>
                <w:b/>
              </w:rPr>
            </w:pPr>
            <w:r>
              <w:rPr>
                <w:b/>
              </w:rPr>
              <w:t>Name of Beneficial Owners</w:t>
            </w:r>
          </w:p>
        </w:tc>
        <w:tc>
          <w:tcPr>
            <w:tcW w:w="90" w:type="dxa"/>
            <w:tcBorders/>
            <w:vAlign w:val="center"/>
          </w:tcPr>
          <w:p>
            <w:pPr>
              <w:pStyle w:val="TableContents"/>
              <w:bidi w:val="0"/>
              <w:spacing w:before="0" w:after="283"/>
              <w:jc w:val="left"/>
              <w:rPr/>
            </w:pPr>
            <w:r>
              <w:rPr/>
              <w:t> </w:t>
            </w:r>
          </w:p>
        </w:tc>
        <w:tc>
          <w:tcPr>
            <w:tcW w:w="16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Percent</w:t>
            </w:r>
            <w:r>
              <w:rPr>
                <w:b/>
                <w:position w:val="7"/>
                <w:sz w:val="16"/>
                <w:sz w:val="20"/>
              </w:rPr>
              <w:t>(1)</w:t>
            </w:r>
          </w:p>
        </w:tc>
        <w:tc>
          <w:tcPr>
            <w:tcW w:w="290"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b/>
              </w:rPr>
            </w:pPr>
            <w:r>
              <w:rPr>
                <w:b/>
              </w:rPr>
              <w:t>Executive Officers and Directors:</w:t>
            </w:r>
          </w:p>
        </w:tc>
        <w:tc>
          <w:tcPr>
            <w:tcW w:w="90" w:type="dxa"/>
            <w:tcBorders/>
            <w:vAlign w:val="center"/>
          </w:tcPr>
          <w:p>
            <w:pPr>
              <w:pStyle w:val="TableContents"/>
              <w:bidi w:val="0"/>
              <w:spacing w:before="0" w:after="283"/>
              <w:jc w:val="left"/>
              <w:rPr/>
            </w:pPr>
            <w:r>
              <w:rPr/>
              <w:t> </w:t>
            </w:r>
          </w:p>
        </w:tc>
        <w:tc>
          <w:tcPr>
            <w:tcW w:w="1652"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200"/>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Marlan D. Walker</w:t>
            </w:r>
            <w:r>
              <w:rPr>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84,572</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sz w:val="20"/>
              </w:rPr>
            </w:pPr>
            <w:r>
              <w:rPr>
                <w:sz w:val="20"/>
              </w:rPr>
              <w:t>*</w:t>
            </w:r>
          </w:p>
        </w:tc>
        <w:tc>
          <w:tcPr>
            <w:tcW w:w="290" w:type="dxa"/>
            <w:tcBorders/>
            <w:shd w:fill="CCEEFF" w:val="clear"/>
            <w:vAlign w:val="center"/>
          </w:tcPr>
          <w:p>
            <w:pPr>
              <w:pStyle w:val="TableContents"/>
              <w:bidi w:val="0"/>
              <w:spacing w:before="0" w:after="283"/>
              <w:ind w:left="0" w:right="0" w:hanging="200"/>
              <w:jc w:val="left"/>
              <w:rPr/>
            </w:pPr>
            <w:r>
              <w:rPr/>
              <w:t> </w:t>
            </w:r>
          </w:p>
        </w:tc>
      </w:tr>
      <w:tr>
        <w:trPr/>
        <w:tc>
          <w:tcPr>
            <w:tcW w:w="4835" w:type="dxa"/>
            <w:tcBorders/>
            <w:vAlign w:val="center"/>
          </w:tcPr>
          <w:p>
            <w:pPr>
              <w:pStyle w:val="TableContents"/>
              <w:bidi w:val="0"/>
              <w:spacing w:before="0" w:after="283"/>
              <w:jc w:val="left"/>
              <w:rPr>
                <w:sz w:val="20"/>
              </w:rPr>
            </w:pPr>
            <w:r>
              <w:rPr>
                <w:sz w:val="20"/>
              </w:rPr>
              <w:t>Tommy G. Thompson</w:t>
            </w:r>
            <w:r>
              <w:rPr>
                <w:position w:val="7"/>
                <w:sz w:val="16"/>
                <w:sz w:val="20"/>
              </w:rPr>
              <w:t>(3)</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17" w:type="dxa"/>
            <w:tcBorders/>
            <w:vAlign w:val="center"/>
          </w:tcPr>
          <w:p>
            <w:pPr>
              <w:pStyle w:val="TableContents"/>
              <w:bidi w:val="0"/>
              <w:spacing w:before="0" w:after="283"/>
              <w:jc w:val="right"/>
              <w:rPr/>
            </w:pPr>
            <w:r>
              <w:rPr/>
              <w:t>36,362</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sz w:val="20"/>
              </w:rPr>
            </w:pPr>
            <w:r>
              <w:rPr>
                <w:sz w:val="20"/>
              </w:rPr>
              <w:t>*</w:t>
            </w:r>
          </w:p>
        </w:tc>
        <w:tc>
          <w:tcPr>
            <w:tcW w:w="290" w:type="dxa"/>
            <w:tcBorders/>
            <w:vAlign w:val="center"/>
          </w:tcPr>
          <w:p>
            <w:pPr>
              <w:pStyle w:val="TableContents"/>
              <w:bidi w:val="0"/>
              <w:spacing w:before="0" w:after="283"/>
              <w:ind w:left="0" w:right="0" w:hanging="200"/>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Cooper C. Collins</w:t>
            </w:r>
            <w:r>
              <w:rPr>
                <w:position w:val="7"/>
                <w:sz w:val="16"/>
                <w:sz w:val="20"/>
              </w:rPr>
              <w:t>(4)</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65,516</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sz w:val="20"/>
              </w:rPr>
            </w:pPr>
            <w:r>
              <w:rPr>
                <w:sz w:val="20"/>
              </w:rPr>
              <w:t>*</w:t>
            </w:r>
          </w:p>
        </w:tc>
        <w:tc>
          <w:tcPr>
            <w:tcW w:w="290" w:type="dxa"/>
            <w:tcBorders/>
            <w:shd w:fill="CCEEFF" w:val="clear"/>
            <w:vAlign w:val="center"/>
          </w:tcPr>
          <w:p>
            <w:pPr>
              <w:pStyle w:val="TableContents"/>
              <w:bidi w:val="0"/>
              <w:spacing w:before="0" w:after="283"/>
              <w:ind w:left="0" w:right="0" w:hanging="200"/>
              <w:jc w:val="left"/>
              <w:rPr/>
            </w:pPr>
            <w:r>
              <w:rPr/>
              <w:t> </w:t>
            </w:r>
          </w:p>
        </w:tc>
      </w:tr>
      <w:tr>
        <w:trPr/>
        <w:tc>
          <w:tcPr>
            <w:tcW w:w="4835" w:type="dxa"/>
            <w:tcBorders/>
            <w:vAlign w:val="center"/>
          </w:tcPr>
          <w:p>
            <w:pPr>
              <w:pStyle w:val="TableContents"/>
              <w:bidi w:val="0"/>
              <w:spacing w:before="0" w:after="283"/>
              <w:jc w:val="left"/>
              <w:rPr>
                <w:sz w:val="20"/>
              </w:rPr>
            </w:pPr>
            <w:r>
              <w:rPr>
                <w:sz w:val="20"/>
              </w:rPr>
              <w:t>Gail K. Naughton, Ph.D.</w:t>
            </w:r>
            <w:r>
              <w:rPr>
                <w:position w:val="7"/>
                <w:sz w:val="16"/>
                <w:sz w:val="20"/>
              </w:rPr>
              <w:t>(5)</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17" w:type="dxa"/>
            <w:tcBorders/>
            <w:vAlign w:val="center"/>
          </w:tcPr>
          <w:p>
            <w:pPr>
              <w:pStyle w:val="TableContents"/>
              <w:bidi w:val="0"/>
              <w:spacing w:before="0" w:after="283"/>
              <w:jc w:val="right"/>
              <w:rPr/>
            </w:pPr>
            <w:r>
              <w:rPr/>
              <w:t>8,500</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sz w:val="20"/>
              </w:rPr>
            </w:pPr>
            <w:r>
              <w:rPr>
                <w:sz w:val="20"/>
              </w:rPr>
              <w:t>*</w:t>
            </w:r>
          </w:p>
        </w:tc>
        <w:tc>
          <w:tcPr>
            <w:tcW w:w="290" w:type="dxa"/>
            <w:tcBorders/>
            <w:vAlign w:val="center"/>
          </w:tcPr>
          <w:p>
            <w:pPr>
              <w:pStyle w:val="TableContents"/>
              <w:bidi w:val="0"/>
              <w:spacing w:before="0" w:after="283"/>
              <w:ind w:left="0" w:right="0" w:hanging="200"/>
              <w:jc w:val="left"/>
              <w:rPr/>
            </w:pPr>
            <w:r>
              <w:rPr/>
              <w:t> </w:t>
            </w:r>
          </w:p>
        </w:tc>
      </w:tr>
      <w:tr>
        <w:trPr/>
        <w:tc>
          <w:tcPr>
            <w:tcW w:w="4835" w:type="dxa"/>
            <w:tcBorders/>
            <w:shd w:fill="CCEEFF" w:val="clear"/>
            <w:vAlign w:val="center"/>
          </w:tcPr>
          <w:p>
            <w:pPr>
              <w:pStyle w:val="TableContents"/>
              <w:bidi w:val="0"/>
              <w:spacing w:before="0" w:after="283"/>
              <w:jc w:val="left"/>
              <w:rPr/>
            </w:pPr>
            <w:r>
              <w:rPr/>
              <w:t>Justin Roberts</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200"/>
              <w:jc w:val="left"/>
              <w:rPr/>
            </w:pPr>
            <w:r>
              <w:rPr/>
              <w:t> </w:t>
            </w:r>
          </w:p>
        </w:tc>
      </w:tr>
      <w:tr>
        <w:trPr/>
        <w:tc>
          <w:tcPr>
            <w:tcW w:w="4835" w:type="dxa"/>
            <w:tcBorders/>
            <w:vAlign w:val="center"/>
          </w:tcPr>
          <w:p>
            <w:pPr>
              <w:pStyle w:val="TableContents"/>
              <w:bidi w:val="0"/>
              <w:spacing w:before="0" w:after="283"/>
              <w:jc w:val="left"/>
              <w:rPr>
                <w:sz w:val="20"/>
              </w:rPr>
            </w:pPr>
            <w:r>
              <w:rPr>
                <w:sz w:val="20"/>
              </w:rPr>
              <w:t>Joseph Ziegler</w:t>
            </w:r>
            <w:r>
              <w:rPr>
                <w:position w:val="7"/>
                <w:sz w:val="16"/>
                <w:sz w:val="20"/>
              </w:rPr>
              <w:t>(6)</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17" w:type="dxa"/>
            <w:tcBorders/>
            <w:vAlign w:val="center"/>
          </w:tcPr>
          <w:p>
            <w:pPr>
              <w:pStyle w:val="TableContents"/>
              <w:bidi w:val="0"/>
              <w:spacing w:before="0" w:after="283"/>
              <w:jc w:val="right"/>
              <w:rPr/>
            </w:pPr>
            <w:r>
              <w:rPr/>
              <w:t>7,500</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ind w:left="0" w:right="0" w:hanging="200"/>
              <w:jc w:val="left"/>
              <w:rPr/>
            </w:pPr>
            <w:r>
              <w:rPr/>
              <w:t> </w:t>
            </w:r>
          </w:p>
        </w:tc>
      </w:tr>
      <w:tr>
        <w:trPr/>
        <w:tc>
          <w:tcPr>
            <w:tcW w:w="4835" w:type="dxa"/>
            <w:tcBorders/>
            <w:shd w:fill="CCEEFF" w:val="clear"/>
            <w:vAlign w:val="center"/>
          </w:tcPr>
          <w:p>
            <w:pPr>
              <w:pStyle w:val="TableContents"/>
              <w:bidi w:val="0"/>
              <w:spacing w:before="0" w:after="283"/>
              <w:jc w:val="left"/>
              <w:rPr/>
            </w:pPr>
            <w:r>
              <w:rPr/>
              <w:t>All executives and directors as a group (6 persons)</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202,450</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1.7</w:t>
            </w:r>
          </w:p>
        </w:tc>
        <w:tc>
          <w:tcPr>
            <w:tcW w:w="290" w:type="dxa"/>
            <w:tcBorders/>
            <w:shd w:fill="CCEEFF" w:val="clear"/>
            <w:vAlign w:val="center"/>
          </w:tcPr>
          <w:p>
            <w:pPr>
              <w:pStyle w:val="TableContents"/>
              <w:bidi w:val="0"/>
              <w:spacing w:before="0" w:after="283"/>
              <w:ind w:left="0" w:right="0" w:hanging="200"/>
              <w:jc w:val="left"/>
              <w:rPr/>
            </w:pPr>
            <w:r>
              <w:rPr/>
              <w:t>%</w:t>
            </w:r>
          </w:p>
        </w:tc>
      </w:tr>
      <w:tr>
        <w:trPr/>
        <w:tc>
          <w:tcPr>
            <w:tcW w:w="4835" w:type="dxa"/>
            <w:tcBorders/>
            <w:vAlign w:val="center"/>
          </w:tcPr>
          <w:p>
            <w:pPr>
              <w:pStyle w:val="TableContents"/>
              <w:bidi w:val="0"/>
              <w:spacing w:before="0" w:after="283"/>
              <w:jc w:val="left"/>
              <w:rPr>
                <w:b/>
              </w:rPr>
            </w:pPr>
            <w:r>
              <w:rPr>
                <w:b/>
              </w:rPr>
              <w:t>5% Stockholders:</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1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200"/>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Rubric Capital Management LP</w:t>
            </w:r>
            <w:r>
              <w:rPr>
                <w:position w:val="7"/>
                <w:sz w:val="16"/>
                <w:sz w:val="20"/>
              </w:rPr>
              <w:t>(7)</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2,946,908</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25.5</w:t>
            </w:r>
          </w:p>
        </w:tc>
        <w:tc>
          <w:tcPr>
            <w:tcW w:w="290" w:type="dxa"/>
            <w:tcBorders/>
            <w:shd w:fill="CCEEFF" w:val="clear"/>
            <w:vAlign w:val="center"/>
          </w:tcPr>
          <w:p>
            <w:pPr>
              <w:pStyle w:val="TableContents"/>
              <w:bidi w:val="0"/>
              <w:spacing w:before="0" w:after="283"/>
              <w:ind w:left="0" w:right="0" w:hanging="200"/>
              <w:jc w:val="left"/>
              <w:rPr/>
            </w:pPr>
            <w:r>
              <w:rPr/>
              <w:t>%</w:t>
            </w:r>
          </w:p>
        </w:tc>
      </w:tr>
      <w:tr>
        <w:trPr/>
        <w:tc>
          <w:tcPr>
            <w:tcW w:w="4835" w:type="dxa"/>
            <w:tcBorders/>
            <w:vAlign w:val="center"/>
          </w:tcPr>
          <w:p>
            <w:pPr>
              <w:pStyle w:val="TableContents"/>
              <w:bidi w:val="0"/>
              <w:spacing w:before="0" w:after="283"/>
              <w:jc w:val="left"/>
              <w:rPr>
                <w:sz w:val="20"/>
              </w:rPr>
            </w:pPr>
            <w:r>
              <w:rPr>
                <w:sz w:val="20"/>
              </w:rPr>
              <w:t>Clearline Capital LP</w:t>
            </w:r>
            <w:r>
              <w:rPr>
                <w:position w:val="7"/>
                <w:sz w:val="16"/>
                <w:sz w:val="20"/>
              </w:rPr>
              <w:t>(8)</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17" w:type="dxa"/>
            <w:tcBorders/>
            <w:vAlign w:val="center"/>
          </w:tcPr>
          <w:p>
            <w:pPr>
              <w:pStyle w:val="TableContents"/>
              <w:bidi w:val="0"/>
              <w:spacing w:before="0" w:after="283"/>
              <w:jc w:val="right"/>
              <w:rPr/>
            </w:pPr>
            <w:r>
              <w:rPr/>
              <w:t>635,222</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5.5</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170"/>
        <w:gridCol w:w="5960"/>
      </w:tblGrid>
      <w:tr>
        <w:trPr/>
        <w:tc>
          <w:tcPr>
            <w:tcW w:w="170" w:type="dxa"/>
            <w:tcBorders/>
            <w:vAlign w:val="center"/>
          </w:tcPr>
          <w:p>
            <w:pPr>
              <w:pStyle w:val="TableContents"/>
              <w:bidi w:val="0"/>
              <w:spacing w:before="0" w:after="283"/>
              <w:jc w:val="left"/>
              <w:rPr>
                <w:sz w:val="20"/>
              </w:rPr>
            </w:pPr>
            <w:r>
              <w:rPr>
                <w:sz w:val="20"/>
              </w:rPr>
              <w:t>*</w:t>
            </w:r>
          </w:p>
        </w:tc>
        <w:tc>
          <w:tcPr>
            <w:tcW w:w="5960" w:type="dxa"/>
            <w:tcBorders/>
            <w:vAlign w:val="center"/>
          </w:tcPr>
          <w:p>
            <w:pPr>
              <w:pStyle w:val="TableContents"/>
              <w:bidi w:val="0"/>
              <w:spacing w:before="0" w:after="283"/>
              <w:jc w:val="left"/>
              <w:rPr>
                <w:sz w:val="20"/>
              </w:rPr>
            </w:pPr>
            <w:r>
              <w:rPr>
                <w:sz w:val="20"/>
              </w:rPr>
              <w:t xml:space="preserve">Represents less than 1% of the outstanding shares of our common stock. </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290"/>
        <w:gridCol w:w="5120"/>
      </w:tblGrid>
      <w:tr>
        <w:trPr/>
        <w:tc>
          <w:tcPr>
            <w:tcW w:w="290" w:type="dxa"/>
            <w:tcBorders/>
            <w:vAlign w:val="center"/>
          </w:tcPr>
          <w:p>
            <w:pPr>
              <w:pStyle w:val="TableContents"/>
              <w:bidi w:val="0"/>
              <w:spacing w:before="0" w:after="283"/>
              <w:jc w:val="left"/>
              <w:rPr>
                <w:sz w:val="20"/>
              </w:rPr>
            </w:pPr>
            <w:r>
              <w:rPr>
                <w:sz w:val="20"/>
              </w:rPr>
              <w:t>(1)</w:t>
            </w:r>
          </w:p>
        </w:tc>
        <w:tc>
          <w:tcPr>
            <w:tcW w:w="5120" w:type="dxa"/>
            <w:tcBorders/>
            <w:vAlign w:val="center"/>
          </w:tcPr>
          <w:p>
            <w:pPr>
              <w:pStyle w:val="TableContents"/>
              <w:bidi w:val="0"/>
              <w:spacing w:before="0" w:after="283"/>
              <w:jc w:val="left"/>
              <w:rPr>
                <w:sz w:val="20"/>
              </w:rPr>
            </w:pPr>
            <w:r>
              <w:rPr>
                <w:sz w:val="20"/>
              </w:rPr>
              <w:t xml:space="preserve">Based on 11,574,362 shares outstanding as of April 18, 2025.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sz w:val="20"/>
              </w:rPr>
            </w:pPr>
            <w:r>
              <w:rPr>
                <w:sz w:val="20"/>
              </w:rPr>
              <w:t>(2)</w:t>
            </w:r>
          </w:p>
        </w:tc>
        <w:tc>
          <w:tcPr>
            <w:tcW w:w="9955" w:type="dxa"/>
            <w:tcBorders/>
            <w:vAlign w:val="center"/>
          </w:tcPr>
          <w:p>
            <w:pPr>
              <w:pStyle w:val="TableContents"/>
              <w:bidi w:val="0"/>
              <w:spacing w:before="0" w:after="283"/>
              <w:jc w:val="left"/>
              <w:rPr>
                <w:sz w:val="20"/>
              </w:rPr>
            </w:pPr>
            <w:r>
              <w:rPr>
                <w:sz w:val="20"/>
              </w:rPr>
              <w:t xml:space="preserve">Includes (i) 73,639 shares held by Mr. Walker directly, (ii) 1,733 shares issuable to Mr. Walker underlying vested but unsettled restricted stock units, (iii) 5,200 shares issuable to Mr. Walker underlying vested but unsettled performance stock units and (iv) 4,000 shares issuable to Mr. Walker upon the exercise of vested stock options.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sz w:val="20"/>
              </w:rPr>
            </w:pPr>
            <w:r>
              <w:rPr>
                <w:sz w:val="20"/>
              </w:rPr>
              <w:t>(3)</w:t>
            </w:r>
          </w:p>
        </w:tc>
        <w:tc>
          <w:tcPr>
            <w:tcW w:w="9958" w:type="dxa"/>
            <w:tcBorders/>
            <w:vAlign w:val="center"/>
          </w:tcPr>
          <w:p>
            <w:pPr>
              <w:pStyle w:val="TableContents"/>
              <w:bidi w:val="0"/>
              <w:spacing w:before="0" w:after="283"/>
              <w:jc w:val="left"/>
              <w:rPr>
                <w:sz w:val="20"/>
              </w:rPr>
            </w:pPr>
            <w:r>
              <w:rPr>
                <w:sz w:val="20"/>
              </w:rPr>
              <w:t>Includes (i) 14,312 shares held by Thompson Family Investments, LLC, an entity solely owned by Thompson Family Holdings, LLC, an entity solely owned by Mr. Thompson, (ii) 14,779 shares held by Mr. Thompson directly, (iii) 21 shares held indirectly by Thompson Family Holdings, LLC and (iv) 7,250 shares issuable to Mr. Thompson upon the exercise of vested stock options.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sz w:val="20"/>
              </w:rPr>
            </w:pPr>
            <w:r>
              <w:rPr>
                <w:sz w:val="20"/>
              </w:rPr>
              <w:t>(4)</w:t>
            </w:r>
          </w:p>
        </w:tc>
        <w:tc>
          <w:tcPr>
            <w:tcW w:w="9924" w:type="dxa"/>
            <w:tcBorders/>
            <w:vAlign w:val="center"/>
          </w:tcPr>
          <w:p>
            <w:pPr>
              <w:pStyle w:val="TableContents"/>
              <w:bidi w:val="0"/>
              <w:spacing w:before="0" w:after="283"/>
              <w:jc w:val="left"/>
              <w:rPr>
                <w:sz w:val="20"/>
              </w:rPr>
            </w:pPr>
            <w:r>
              <w:rPr>
                <w:sz w:val="20"/>
              </w:rPr>
              <w:t>Includes (i) 60,516 shares held by Mr. Collins directly and (ii) 5,000 shares issuable to Mr. Collins upon the exercise of vested stock options.</w:t>
            </w:r>
          </w:p>
        </w:tc>
      </w:tr>
    </w:tbl>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290"/>
        <w:gridCol w:w="4400"/>
      </w:tblGrid>
      <w:tr>
        <w:trPr/>
        <w:tc>
          <w:tcPr>
            <w:tcW w:w="290" w:type="dxa"/>
            <w:tcBorders/>
            <w:vAlign w:val="center"/>
          </w:tcPr>
          <w:p>
            <w:pPr>
              <w:pStyle w:val="TableContents"/>
              <w:bidi w:val="0"/>
              <w:spacing w:before="0" w:after="283"/>
              <w:jc w:val="left"/>
              <w:rPr>
                <w:sz w:val="20"/>
              </w:rPr>
            </w:pPr>
            <w:r>
              <w:rPr>
                <w:sz w:val="20"/>
              </w:rPr>
              <w:t>(5)</w:t>
            </w:r>
          </w:p>
        </w:tc>
        <w:tc>
          <w:tcPr>
            <w:tcW w:w="4400" w:type="dxa"/>
            <w:tcBorders/>
            <w:vAlign w:val="center"/>
          </w:tcPr>
          <w:p>
            <w:pPr>
              <w:pStyle w:val="TableContents"/>
              <w:bidi w:val="0"/>
              <w:spacing w:before="0" w:after="283"/>
              <w:jc w:val="left"/>
              <w:rPr>
                <w:sz w:val="20"/>
              </w:rPr>
            </w:pPr>
            <w:r>
              <w:rPr>
                <w:sz w:val="20"/>
              </w:rPr>
              <w:t xml:space="preserve">Includes 8,500 shares held by Dr. Naughton directly. </w:t>
            </w:r>
          </w:p>
        </w:tc>
      </w:tr>
    </w:tbl>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290"/>
        <w:gridCol w:w="4220"/>
      </w:tblGrid>
      <w:tr>
        <w:trPr/>
        <w:tc>
          <w:tcPr>
            <w:tcW w:w="290" w:type="dxa"/>
            <w:tcBorders/>
            <w:vAlign w:val="center"/>
          </w:tcPr>
          <w:p>
            <w:pPr>
              <w:pStyle w:val="TableContents"/>
              <w:bidi w:val="0"/>
              <w:spacing w:before="0" w:after="283"/>
              <w:jc w:val="left"/>
              <w:rPr>
                <w:sz w:val="20"/>
              </w:rPr>
            </w:pPr>
            <w:r>
              <w:rPr>
                <w:sz w:val="20"/>
              </w:rPr>
              <w:t>(6)</w:t>
            </w:r>
          </w:p>
        </w:tc>
        <w:tc>
          <w:tcPr>
            <w:tcW w:w="4220" w:type="dxa"/>
            <w:tcBorders/>
            <w:vAlign w:val="center"/>
          </w:tcPr>
          <w:p>
            <w:pPr>
              <w:pStyle w:val="TableContents"/>
              <w:bidi w:val="0"/>
              <w:spacing w:before="0" w:after="283"/>
              <w:jc w:val="left"/>
              <w:rPr>
                <w:sz w:val="20"/>
              </w:rPr>
            </w:pPr>
            <w:r>
              <w:rPr>
                <w:sz w:val="20"/>
              </w:rPr>
              <w:t xml:space="preserve">Includes 7,500 shares held by Mr. Ziegler directly.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sz w:val="20"/>
              </w:rPr>
            </w:pPr>
            <w:r>
              <w:rPr>
                <w:sz w:val="20"/>
              </w:rPr>
              <w:t>(7)</w:t>
            </w:r>
          </w:p>
        </w:tc>
        <w:tc>
          <w:tcPr>
            <w:tcW w:w="9943" w:type="dxa"/>
            <w:tcBorders/>
            <w:vAlign w:val="center"/>
          </w:tcPr>
          <w:p>
            <w:pPr>
              <w:pStyle w:val="TableContents"/>
              <w:bidi w:val="0"/>
              <w:spacing w:before="0" w:after="283"/>
              <w:jc w:val="left"/>
              <w:rPr>
                <w:sz w:val="20"/>
              </w:rPr>
            </w:pPr>
            <w:r>
              <w:rPr>
                <w:sz w:val="20"/>
              </w:rPr>
              <w:t>Based solely on the Form 4 filed with the SEC by Rubric Capital Management LP on November 17, 2023. The address of Rubric Capital Management LP is 155 East 44th Street, Suite 1630, New York, NY 10017.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sz w:val="20"/>
              </w:rPr>
            </w:pPr>
            <w:r>
              <w:rPr>
                <w:sz w:val="20"/>
              </w:rPr>
              <w:t>(8)</w:t>
            </w:r>
          </w:p>
        </w:tc>
        <w:tc>
          <w:tcPr>
            <w:tcW w:w="9951" w:type="dxa"/>
            <w:tcBorders/>
            <w:vAlign w:val="center"/>
          </w:tcPr>
          <w:p>
            <w:pPr>
              <w:pStyle w:val="TableContents"/>
              <w:bidi w:val="0"/>
              <w:spacing w:before="0" w:after="283"/>
              <w:jc w:val="left"/>
              <w:rPr>
                <w:sz w:val="20"/>
              </w:rPr>
            </w:pPr>
            <w:r>
              <w:rPr>
                <w:sz w:val="20"/>
              </w:rPr>
              <w:t>Based solely on a Schedule 13G filed with the SEC by Clearline Capital LP on February 12, 2025. Clearline Capital LP has shared voting and shared dispositive power over 635,222 shares. The address of Clearline Capital LP is 950 Third Avenue, 23rd Floor, New York, NY 10022.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EQUITY COMPENSATION PLAN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following table shows the number of securities to be issued upon exercise of outstanding options under equity compensation plans approved by our stockholders, which plans do not provide for the issuance of warrants or other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5"/>
        <w:gridCol w:w="90"/>
        <w:gridCol w:w="122"/>
        <w:gridCol w:w="963"/>
        <w:gridCol w:w="103"/>
        <w:gridCol w:w="103"/>
        <w:gridCol w:w="135"/>
        <w:gridCol w:w="893"/>
        <w:gridCol w:w="103"/>
        <w:gridCol w:w="103"/>
        <w:gridCol w:w="153"/>
        <w:gridCol w:w="1007"/>
        <w:gridCol w:w="90"/>
        <w:gridCol w:w="90"/>
        <w:gridCol w:w="122"/>
        <w:gridCol w:w="963"/>
        <w:gridCol w:w="90"/>
        <w:gridCol w:w="90"/>
        <w:gridCol w:w="143"/>
        <w:gridCol w:w="1349"/>
        <w:gridCol w:w="138"/>
      </w:tblGrid>
      <w:tr>
        <w:trPr/>
        <w:tc>
          <w:tcPr>
            <w:tcW w:w="33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68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w:t>
              <w:br/>
              <w:t>Number of Securities to be Issued Upon</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8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92"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w:t>
              <w:br/>
              <w:t>Number of</w:t>
              <w:br/>
              <w:t>Securities</w:t>
              <w:br/>
              <w:t>Remaining</w:t>
              <w:br/>
              <w:t>Available For</w:t>
              <w:br/>
              <w:t>Future</w:t>
              <w:br/>
              <w:t>Issuance</w:t>
              <w:br/>
              <w:t>Under Equity</w:t>
            </w:r>
          </w:p>
        </w:tc>
        <w:tc>
          <w:tcPr>
            <w:tcW w:w="138" w:type="dxa"/>
            <w:tcBorders/>
            <w:vAlign w:val="center"/>
          </w:tcPr>
          <w:p>
            <w:pPr>
              <w:pStyle w:val="TableContents"/>
              <w:bidi w:val="0"/>
              <w:spacing w:before="0" w:after="283"/>
              <w:jc w:val="center"/>
              <w:rPr/>
            </w:pPr>
            <w:r>
              <w:rPr/>
              <w:t> </w:t>
            </w:r>
          </w:p>
        </w:tc>
      </w:tr>
      <w:tr>
        <w:trPr/>
        <w:tc>
          <w:tcPr>
            <w:tcW w:w="33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Plan Name</w:t>
            </w:r>
          </w:p>
        </w:tc>
        <w:tc>
          <w:tcPr>
            <w:tcW w:w="90" w:type="dxa"/>
            <w:tcBorders/>
            <w:vAlign w:val="center"/>
          </w:tcPr>
          <w:p>
            <w:pPr>
              <w:pStyle w:val="TableContents"/>
              <w:bidi w:val="0"/>
              <w:spacing w:before="0" w:after="283"/>
              <w:jc w:val="center"/>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Exercise of</w:t>
              <w:br/>
              <w:t>Outstanding</w:t>
              <w:br/>
              <w:t xml:space="preserve">Options </w:t>
              <w:br/>
              <w:t>(#)</w:t>
            </w:r>
          </w:p>
        </w:tc>
        <w:tc>
          <w:tcPr>
            <w:tcW w:w="103" w:type="dxa"/>
            <w:tcBorders/>
            <w:vAlign w:val="center"/>
          </w:tcPr>
          <w:p>
            <w:pPr>
              <w:pStyle w:val="TableContents"/>
              <w:bidi w:val="0"/>
              <w:spacing w:before="0" w:after="283"/>
              <w:jc w:val="center"/>
              <w:rPr/>
            </w:pPr>
            <w:r>
              <w:rPr/>
              <w:t> </w:t>
            </w:r>
          </w:p>
        </w:tc>
        <w:tc>
          <w:tcPr>
            <w:tcW w:w="103" w:type="dxa"/>
            <w:tcBorders/>
            <w:vAlign w:val="center"/>
          </w:tcPr>
          <w:p>
            <w:pPr>
              <w:pStyle w:val="TableContents"/>
              <w:bidi w:val="0"/>
              <w:spacing w:before="0" w:after="283"/>
              <w:jc w:val="center"/>
              <w:rPr/>
            </w:pPr>
            <w:r>
              <w:rPr/>
              <w:t> </w:t>
            </w:r>
          </w:p>
        </w:tc>
        <w:tc>
          <w:tcPr>
            <w:tcW w:w="102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Vesting and</w:t>
              <w:br/>
              <w:t>Settlement of</w:t>
              <w:br/>
              <w:t>Restricted</w:t>
              <w:br/>
              <w:t>Stock Units</w:t>
              <w:br/>
              <w:t>(“RSUs”)</w:t>
              <w:br/>
              <w:t>(#)</w:t>
            </w:r>
          </w:p>
        </w:tc>
        <w:tc>
          <w:tcPr>
            <w:tcW w:w="103" w:type="dxa"/>
            <w:tcBorders/>
            <w:vAlign w:val="center"/>
          </w:tcPr>
          <w:p>
            <w:pPr>
              <w:pStyle w:val="TableContents"/>
              <w:bidi w:val="0"/>
              <w:spacing w:before="0" w:after="283"/>
              <w:jc w:val="center"/>
              <w:rPr/>
            </w:pPr>
            <w:r>
              <w:rPr/>
              <w:t> </w:t>
            </w:r>
          </w:p>
        </w:tc>
        <w:tc>
          <w:tcPr>
            <w:tcW w:w="103"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Vesting and</w:t>
              <w:br/>
              <w:t>Settlement of</w:t>
              <w:br/>
              <w:t>Performance</w:t>
              <w:br/>
              <w:t>Stock Units</w:t>
              <w:br/>
              <w:t>(“PSUs”)</w:t>
              <w:br/>
              <w: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w:t>
              <w:br/>
              <w:t>Average</w:t>
              <w:br/>
              <w:t>Exercise</w:t>
              <w:br/>
              <w:t>Price of</w:t>
              <w:br/>
              <w:t>Outstanding</w:t>
              <w:br/>
              <w:t>Options</w:t>
              <w:br/>
              <w: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9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 Plans</w:t>
              <w:br/>
              <w:t>(Excluding</w:t>
              <w:br/>
              <w:t>Securities</w:t>
              <w:br/>
              <w:t>Reflected in</w:t>
              <w:br/>
              <w:t>Columns (a))</w:t>
              <w:br/>
              <w:t>(#)</w:t>
            </w:r>
          </w:p>
        </w:tc>
        <w:tc>
          <w:tcPr>
            <w:tcW w:w="138" w:type="dxa"/>
            <w:tcBorders/>
            <w:vAlign w:val="center"/>
          </w:tcPr>
          <w:p>
            <w:pPr>
              <w:pStyle w:val="TableContents"/>
              <w:bidi w:val="0"/>
              <w:spacing w:before="0" w:after="283"/>
              <w:jc w:val="center"/>
              <w:rPr/>
            </w:pPr>
            <w:r>
              <w:rPr/>
              <w:t> </w:t>
            </w:r>
          </w:p>
        </w:tc>
      </w:tr>
      <w:tr>
        <w:trPr/>
        <w:tc>
          <w:tcPr>
            <w:tcW w:w="3355" w:type="dxa"/>
            <w:tcBorders/>
            <w:vAlign w:val="center"/>
          </w:tcPr>
          <w:p>
            <w:pPr>
              <w:pStyle w:val="TableContents"/>
              <w:bidi w:val="0"/>
              <w:spacing w:before="0" w:after="283"/>
              <w:jc w:val="left"/>
              <w:rPr/>
            </w:pPr>
            <w:r>
              <w:rPr/>
              <w:t>Equity Compensation Plans Approved by Stockholders</w:t>
            </w:r>
          </w:p>
        </w:tc>
        <w:tc>
          <w:tcPr>
            <w:tcW w:w="9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2" w:type="dxa"/>
            <w:gridSpan w:val="2"/>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ind w:left="0" w:right="0" w:hanging="180"/>
              <w:jc w:val="left"/>
              <w:rPr/>
            </w:pPr>
            <w:r>
              <w:rPr/>
              <w:t> </w:t>
            </w:r>
          </w:p>
        </w:tc>
      </w:tr>
      <w:tr>
        <w:trPr/>
        <w:tc>
          <w:tcPr>
            <w:tcW w:w="3355" w:type="dxa"/>
            <w:tcBorders/>
            <w:shd w:fill="CCEEFF" w:val="clear"/>
            <w:vAlign w:val="center"/>
          </w:tcPr>
          <w:p>
            <w:pPr>
              <w:pStyle w:val="TableContents"/>
              <w:bidi w:val="0"/>
              <w:spacing w:before="0" w:after="283"/>
              <w:jc w:val="left"/>
              <w:rPr/>
            </w:pPr>
            <w:r>
              <w:rPr/>
              <w:t>2019 Plan</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19,820</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1,733</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5,200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120.71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411,000</w:t>
            </w:r>
          </w:p>
        </w:tc>
        <w:tc>
          <w:tcPr>
            <w:tcW w:w="138" w:type="dxa"/>
            <w:tcBorders/>
            <w:shd w:fill="CCEEFF" w:val="clear"/>
            <w:vAlign w:val="center"/>
          </w:tcPr>
          <w:p>
            <w:pPr>
              <w:pStyle w:val="TableContents"/>
              <w:bidi w:val="0"/>
              <w:spacing w:before="0" w:after="283"/>
              <w:ind w:left="0" w:right="0" w:hanging="180"/>
              <w:jc w:val="left"/>
              <w:rPr/>
            </w:pPr>
            <w:r>
              <w:rPr/>
              <w:t> </w:t>
            </w:r>
          </w:p>
        </w:tc>
      </w:tr>
      <w:tr>
        <w:trPr/>
        <w:tc>
          <w:tcPr>
            <w:tcW w:w="3355" w:type="dxa"/>
            <w:tcBorders/>
            <w:vAlign w:val="center"/>
          </w:tcPr>
          <w:p>
            <w:pPr>
              <w:pStyle w:val="TableContents"/>
              <w:bidi w:val="0"/>
              <w:spacing w:before="0" w:after="283"/>
              <w:jc w:val="left"/>
              <w:rPr/>
            </w:pPr>
            <w:r>
              <w:rPr/>
              <w:t>2012 Plan</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7,300</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309.77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w:t>
            </w:r>
          </w:p>
        </w:tc>
        <w:tc>
          <w:tcPr>
            <w:tcW w:w="138" w:type="dxa"/>
            <w:tcBorders/>
            <w:vAlign w:val="center"/>
          </w:tcPr>
          <w:p>
            <w:pPr>
              <w:pStyle w:val="TableContents"/>
              <w:bidi w:val="0"/>
              <w:spacing w:before="0" w:after="283"/>
              <w:ind w:left="0" w:right="0" w:hanging="180"/>
              <w:jc w:val="left"/>
              <w:rPr/>
            </w:pPr>
            <w:r>
              <w:rPr/>
              <w:t> </w:t>
            </w:r>
          </w:p>
        </w:tc>
      </w:tr>
      <w:tr>
        <w:trPr/>
        <w:tc>
          <w:tcPr>
            <w:tcW w:w="3355" w:type="dxa"/>
            <w:tcBorders/>
            <w:shd w:fill="CCEEFF" w:val="clear"/>
            <w:vAlign w:val="center"/>
          </w:tcPr>
          <w:p>
            <w:pPr>
              <w:pStyle w:val="TableContents"/>
              <w:bidi w:val="0"/>
              <w:spacing w:before="0" w:after="283"/>
              <w:jc w:val="left"/>
              <w:rPr/>
            </w:pPr>
            <w:r>
              <w:rPr/>
              <w:t>2009 Plan</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29,410</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361.37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138" w:type="dxa"/>
            <w:tcBorders/>
            <w:shd w:fill="CCEEFF" w:val="clear"/>
            <w:vAlign w:val="center"/>
          </w:tcPr>
          <w:p>
            <w:pPr>
              <w:pStyle w:val="TableContents"/>
              <w:bidi w:val="0"/>
              <w:spacing w:before="0" w:after="283"/>
              <w:ind w:left="0" w:right="0" w:hanging="180"/>
              <w:jc w:val="left"/>
              <w:rPr/>
            </w:pPr>
            <w:r>
              <w:rPr/>
              <w:t> </w:t>
            </w:r>
          </w:p>
        </w:tc>
      </w:tr>
      <w:tr>
        <w:trPr/>
        <w:tc>
          <w:tcPr>
            <w:tcW w:w="3355" w:type="dxa"/>
            <w:tcBorders/>
            <w:vAlign w:val="center"/>
          </w:tcPr>
          <w:p>
            <w:pPr>
              <w:pStyle w:val="TableContents"/>
              <w:bidi w:val="0"/>
              <w:spacing w:before="0" w:after="283"/>
              <w:jc w:val="left"/>
              <w:rPr/>
            </w:pPr>
            <w:r>
              <w:rPr/>
              <w:t>Equity Compensation Plans Not Approved by Stockholders</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ind w:left="0" w:right="0" w:hanging="180"/>
              <w:jc w:val="left"/>
              <w:rPr/>
            </w:pPr>
            <w:r>
              <w:rPr/>
              <w:t> </w:t>
            </w:r>
          </w:p>
        </w:tc>
      </w:tr>
      <w:tr>
        <w:trPr/>
        <w:tc>
          <w:tcPr>
            <w:tcW w:w="3355" w:type="dxa"/>
            <w:tcBorders/>
            <w:shd w:fill="CCEEFF" w:val="clear"/>
            <w:vAlign w:val="center"/>
          </w:tcPr>
          <w:p>
            <w:pPr>
              <w:pStyle w:val="TableContents"/>
              <w:bidi w:val="0"/>
              <w:spacing w:before="0" w:after="283"/>
              <w:jc w:val="left"/>
              <w:rPr/>
            </w:pPr>
            <w:r>
              <w:rPr/>
              <w:t>None</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13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 xml:space="preserve">Item 13. Certain Relationships and Related Transactions, and Director Independence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Policy Relating to 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policy that we will not enter into any material transaction in which a director or officer has a direct or indirect financial interest unless the transaction is determined by our Board of Directors to be fair to us or is approved by a majority of our disinterested directors or by our stockholders, as provided for under Nevada law. Generally, our Board of Directors as a whole, other than an affected director, if applicable, determines whether a director or officer has a direct or indirect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any) financial interest in a transaction deemed material based upon our Code of Conduct and Ethics and Nevada law. From time to time, our Audit Committee, in accordance with its charter, will also review potential conflict of interest transactions involving members of our Board of Directors and our executive officers. The policy with respect to such transactions is provided in our company’s Code of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compensation arrangements, we describe below transactions and series of similar transactions, since January 1, 2023, to which we were a party or will be a party, in which:</w:t>
      </w:r>
    </w:p>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05"/>
        <w:gridCol w:w="200"/>
        <w:gridCol w:w="50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sz w:val="20"/>
              </w:rPr>
            </w:pPr>
            <w:r>
              <w:rPr>
                <w:sz w:val="20"/>
              </w:rPr>
              <w:t>the amounts involved exceeded or will exceed $120,000;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any of our directors, executive officers, or holders of more than 5% of our voting securities, or any member of the immediate family of the foregoing persons, had or will have a direct or indirect material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arrangements for our directors and NEOs are described elsewhere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Agreements with Rubric Capital Management LP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23, 2022, we appointed Mr. Justin Roberts as a director to fill a newly created vacancy on the Board of Directors. As a director of the Company, Mr. Roberts is entitled to receive compensation in the same manner as our other non-employee directors, but he has elected not to receive any compensation for his service as a non-employee director at this time. Mr. Roberts currently serves as a Partner of Rubric. On July 29, 2022, September 30, 2022, October 28, 2022 and May 1, 2023, we entered into subscription agreements with Rubric. On December 30, 2022, and in accordance with the terms of the Certificate of Designation, the Company redeemed all 29,000 outstanding shares of the Company’s Series A Preferred Stock from Rubric at a purchase price of $1,333 per share. The Company also paid certain affiliates of Rubric approximately $3.0 million as a make-whole payment pursuant to the subscription agreements previously entered into between the Company and Rubric. On June 29, 2023, we issued and sold 312,525 shares of Common Stock to Rubric at a price per share equal to $3.6797 pursuant to the subscription agreement and received gross proceeds of $1.15 million before expenses. On November 15, 2023, Rubric drew down an additional 877,192 shares of Common Stock at a price per share equal to $2.2761. We received gross proceeds of $2.0 million from the drawdown before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Independence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caps w:val="false"/>
          <w:smallCaps w:val="false"/>
          <w:sz w:val="20"/>
        </w:rPr>
        <w:t>Item 10 - Directors, Executive Officers and Corporate Governance</w:t>
      </w:r>
      <w:r>
        <w:rPr>
          <w:rFonts w:ascii="Times New Roman;Times;Serif" w:hAnsi="Times New Roman;Times;Serif"/>
          <w:b w:val="false"/>
          <w:i w:val="false"/>
          <w:caps w:val="false"/>
          <w:smallCaps w:val="false"/>
          <w:sz w:val="20"/>
        </w:rPr>
        <w:t xml:space="preserve"> above for a discussion on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 xml:space="preserve">Item 14. Principal Accountant Fees and Services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fees billed to our company for the fiscal year ended December 31, 2024 and 2023 by Berkowitz Pollack Brant, Advisors + CPAs were as follows:</w:t>
      </w:r>
    </w:p>
    <w:p>
      <w:pPr>
        <w:pStyle w:val="TextBody"/>
        <w:bidi w:val="0"/>
        <w:spacing w:before="0" w:after="0"/>
        <w:ind w:left="0" w:right="0" w:hanging="0"/>
        <w:jc w:val="left"/>
        <w:rPr>
          <w:caps w:val="false"/>
          <w:smallCaps w:val="false"/>
        </w:rPr>
      </w:pPr>
      <w:r>
        <w:rPr>
          <w:caps w:val="false"/>
          <w:smallCaps w:val="false"/>
        </w:rPr>
        <w:t> </w:t>
      </w:r>
    </w:p>
    <w:tbl>
      <w:tblPr>
        <w:tblW w:w="3990" w:type="dxa"/>
        <w:jc w:val="left"/>
        <w:tblInd w:w="0" w:type="dxa"/>
        <w:tblLayout w:type="fixed"/>
        <w:tblCellMar>
          <w:top w:w="0" w:type="dxa"/>
          <w:left w:w="0" w:type="dxa"/>
          <w:bottom w:w="0" w:type="dxa"/>
          <w:right w:w="0" w:type="dxa"/>
        </w:tblCellMar>
      </w:tblPr>
      <w:tblGrid>
        <w:gridCol w:w="1745"/>
        <w:gridCol w:w="90"/>
        <w:gridCol w:w="90"/>
        <w:gridCol w:w="830"/>
        <w:gridCol w:w="90"/>
        <w:gridCol w:w="90"/>
        <w:gridCol w:w="90"/>
        <w:gridCol w:w="830"/>
        <w:gridCol w:w="135"/>
      </w:tblGrid>
      <w:tr>
        <w:trPr/>
        <w:tc>
          <w:tcPr>
            <w:tcW w:w="17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b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br/>
              <w:t>($)</w:t>
            </w:r>
          </w:p>
        </w:tc>
        <w:tc>
          <w:tcPr>
            <w:tcW w:w="135" w:type="dxa"/>
            <w:tcBorders/>
            <w:vAlign w:val="center"/>
          </w:tcPr>
          <w:p>
            <w:pPr>
              <w:pStyle w:val="TableContents"/>
              <w:bidi w:val="0"/>
              <w:spacing w:before="0" w:after="283"/>
              <w:ind w:left="0" w:right="0" w:hanging="200"/>
              <w:jc w:val="left"/>
              <w:rPr/>
            </w:pPr>
            <w:r>
              <w:rPr/>
              <w:t> </w:t>
            </w:r>
          </w:p>
        </w:tc>
      </w:tr>
      <w:tr>
        <w:trPr/>
        <w:tc>
          <w:tcPr>
            <w:tcW w:w="1745" w:type="dxa"/>
            <w:tcBorders/>
            <w:shd w:fill="CCEEFF" w:val="clear"/>
            <w:vAlign w:val="center"/>
          </w:tcPr>
          <w:p>
            <w:pPr>
              <w:pStyle w:val="TableContents"/>
              <w:bidi w:val="0"/>
              <w:spacing w:before="0" w:after="283"/>
              <w:jc w:val="left"/>
              <w:rPr/>
            </w:pPr>
            <w:r>
              <w:rPr/>
              <w:t>Audit fees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201,345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186,575</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745" w:type="dxa"/>
            <w:tcBorders/>
            <w:vAlign w:val="center"/>
          </w:tcPr>
          <w:p>
            <w:pPr>
              <w:pStyle w:val="TableContents"/>
              <w:bidi w:val="0"/>
              <w:spacing w:before="0" w:after="283"/>
              <w:jc w:val="left"/>
              <w:rPr/>
            </w:pPr>
            <w:r>
              <w:rPr/>
              <w:t>Audit-related fees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200"/>
              <w:jc w:val="left"/>
              <w:rPr/>
            </w:pPr>
            <w:r>
              <w:rPr/>
              <w:t> </w:t>
            </w:r>
          </w:p>
        </w:tc>
      </w:tr>
      <w:tr>
        <w:trPr/>
        <w:tc>
          <w:tcPr>
            <w:tcW w:w="1745" w:type="dxa"/>
            <w:tcBorders/>
            <w:shd w:fill="CCEEFF" w:val="clear"/>
            <w:vAlign w:val="center"/>
          </w:tcPr>
          <w:p>
            <w:pPr>
              <w:pStyle w:val="TableContents"/>
              <w:bidi w:val="0"/>
              <w:spacing w:before="0" w:after="283"/>
              <w:jc w:val="left"/>
              <w:rPr/>
            </w:pPr>
            <w:r>
              <w:rPr/>
              <w:t>Tax fees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745" w:type="dxa"/>
            <w:tcBorders/>
            <w:vAlign w:val="center"/>
          </w:tcPr>
          <w:p>
            <w:pPr>
              <w:pStyle w:val="TableContents"/>
              <w:bidi w:val="0"/>
              <w:spacing w:before="0" w:after="283"/>
              <w:jc w:val="left"/>
              <w:rPr/>
            </w:pPr>
            <w:r>
              <w:rPr/>
              <w:t>All other fees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200"/>
              <w:jc w:val="left"/>
              <w:rPr/>
            </w:pPr>
            <w:r>
              <w:rPr/>
              <w:t> </w:t>
            </w:r>
          </w:p>
        </w:tc>
      </w:tr>
      <w:tr>
        <w:trPr/>
        <w:tc>
          <w:tcPr>
            <w:tcW w:w="174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201,345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186,575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consist of fees associated with the annual audit, the reviews of our annual and quarterly reports, and other filings with the SEC as well as comfort letters and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Audit Committee Pre-Approval Policies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of our Audit Committee provides that the duties and responsibilities of our Audit Committee include the pre-approval, or adopting procedures for pre-approval, of all audit, audit-related, tax, and other services permitted by law or applicable SEC regulations (including fee and cost ranges) to be performed by our independent auditor. Any pre-approved services that will involve fees or costs exceeding pre-approved levels will also require specific pre-approval by the Audit Committee. Unless otherwise specified by the Audit Committee in pre-approving a service, the pre-approval will be effective for the 12-month period following pre-approval. The Audit Committee will not approve any non-audit services prohibited by applicable SEC regulations or any services in connection with a transaction initially recommended by the independent auditor, the purpose of which may be tax avoidance and the tax treatment of which may not be supported by the Internal Revenue Code and related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deemed appropriate, the Audit Committee may delegate pre-approval authority to the Chairperson of the Audit Committee or any one or more other members of the Audit Committee provided that any member of the Audit Committee who has exercised any such delegation must report any such pre-approval decision to the Audit Committee at its next scheduled meeting. The Audit Committee will not delegate to management the pre-approval of services to be performed by the independent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requires that our independent auditor, in conjunction with our Chief Financial Officer, be responsible for seeking pre-approval for providing services to us and that any request for pre-approval must inform the Audit Committee about each service to be provided and must provide detail as to the particular service to be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services provided by our independent registered public accounting firm described above were approved by our Audit Committee pursuant to our Audit Committee’s pre-approval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IV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 xml:space="preserve">Item 15. Exhibits and Financial Statement Schedules </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290"/>
        <w:gridCol w:w="4760"/>
      </w:tblGrid>
      <w:tr>
        <w:trPr/>
        <w:tc>
          <w:tcPr>
            <w:tcW w:w="290" w:type="dxa"/>
            <w:tcBorders/>
            <w:vAlign w:val="center"/>
          </w:tcPr>
          <w:p>
            <w:pPr>
              <w:pStyle w:val="TableContents"/>
              <w:bidi w:val="0"/>
              <w:spacing w:before="0" w:after="283"/>
              <w:jc w:val="left"/>
              <w:rPr>
                <w:b/>
                <w:sz w:val="20"/>
              </w:rPr>
            </w:pPr>
            <w:r>
              <w:rPr>
                <w:b/>
                <w:sz w:val="20"/>
              </w:rPr>
              <w:t>(a)</w:t>
            </w:r>
          </w:p>
        </w:tc>
        <w:tc>
          <w:tcPr>
            <w:tcW w:w="4760" w:type="dxa"/>
            <w:tcBorders/>
            <w:vAlign w:val="center"/>
          </w:tcPr>
          <w:p>
            <w:pPr>
              <w:pStyle w:val="TableContents"/>
              <w:bidi w:val="0"/>
              <w:spacing w:before="0" w:after="283"/>
              <w:jc w:val="both"/>
              <w:rPr>
                <w:b/>
                <w:sz w:val="20"/>
              </w:rPr>
            </w:pPr>
            <w:r>
              <w:rPr>
                <w:b/>
                <w:sz w:val="20"/>
              </w:rPr>
              <w:t>Financial statements and financial statements schedules</w:t>
            </w:r>
          </w:p>
        </w:tc>
      </w:tr>
    </w:tbl>
    <w:p>
      <w:pPr>
        <w:pStyle w:val="TextBody"/>
        <w:bidi w:val="0"/>
        <w:spacing w:before="0" w:after="0"/>
        <w:ind w:left="0" w:right="0" w:firstLine="1102"/>
        <w:jc w:val="left"/>
        <w:rPr>
          <w:caps w:val="false"/>
          <w:smallCaps w:val="false"/>
        </w:rPr>
      </w:pPr>
      <w:r>
        <w:rPr>
          <w:caps w:val="false"/>
          <w:smallCaps w:val="false"/>
        </w:rPr>
        <w:t> </w:t>
      </w:r>
    </w:p>
    <w:p>
      <w:pPr>
        <w:pStyle w:val="TextBody"/>
        <w:bidi w:val="0"/>
        <w:spacing w:before="0" w:after="0"/>
        <w:ind w:left="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financial statements are omitted for the reason that they are not required, or the information is otherwise supplied in Item 8. “Financial Statements and Supplementary Data” in the Original Form 10-K.</w:t>
      </w:r>
    </w:p>
    <w:p>
      <w:pPr>
        <w:pStyle w:val="TextBody"/>
        <w:bidi w:val="0"/>
        <w:spacing w:before="0" w:after="0"/>
        <w:ind w:left="0" w:right="0" w:firstLine="1102"/>
        <w:jc w:val="left"/>
        <w:rPr>
          <w:caps w:val="false"/>
          <w:smallCaps w:val="false"/>
        </w:rPr>
      </w:pPr>
      <w:r>
        <w:rPr>
          <w:caps w:val="false"/>
          <w:smallCaps w:val="false"/>
        </w:rPr>
        <w:t> </w:t>
      </w:r>
    </w:p>
    <w:p>
      <w:pPr>
        <w:pStyle w:val="TextBody"/>
        <w:bidi w:val="0"/>
        <w:spacing w:before="0" w:after="0"/>
        <w:ind w:left="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financial statement schedules are included because such schedules are not applicable, are not required, or because required information is included in the consolidated financial statements or notes thereto contained in the Original Form 10-K.</w:t>
      </w:r>
    </w:p>
    <w:p>
      <w:pPr>
        <w:pStyle w:val="TextBody"/>
        <w:bidi w:val="0"/>
        <w:spacing w:before="0" w:after="0"/>
        <w:ind w:left="0" w:right="0" w:hanging="0"/>
        <w:jc w:val="left"/>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290"/>
        <w:gridCol w:w="800"/>
      </w:tblGrid>
      <w:tr>
        <w:trPr/>
        <w:tc>
          <w:tcPr>
            <w:tcW w:w="290" w:type="dxa"/>
            <w:tcBorders/>
            <w:vAlign w:val="center"/>
          </w:tcPr>
          <w:p>
            <w:pPr>
              <w:pStyle w:val="TableContents"/>
              <w:bidi w:val="0"/>
              <w:spacing w:before="0" w:after="283"/>
              <w:jc w:val="left"/>
              <w:rPr>
                <w:b/>
                <w:sz w:val="20"/>
              </w:rPr>
            </w:pPr>
            <w:r>
              <w:rPr>
                <w:b/>
                <w:sz w:val="20"/>
              </w:rPr>
              <w:t>(b)</w:t>
            </w:r>
          </w:p>
        </w:tc>
        <w:tc>
          <w:tcPr>
            <w:tcW w:w="800" w:type="dxa"/>
            <w:tcBorders/>
            <w:vAlign w:val="center"/>
          </w:tcPr>
          <w:p>
            <w:pPr>
              <w:pStyle w:val="TableContents"/>
              <w:bidi w:val="0"/>
              <w:spacing w:before="0" w:after="283"/>
              <w:jc w:val="both"/>
              <w:rPr>
                <w:b/>
                <w:sz w:val="20"/>
              </w:rPr>
            </w:pPr>
            <w:r>
              <w:rPr>
                <w:b/>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8"/>
        <w:gridCol w:w="90"/>
        <w:gridCol w:w="9247"/>
      </w:tblGrid>
      <w:tr>
        <w:trPr/>
        <w:tc>
          <w:tcPr>
            <w:tcW w:w="868"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90" w:type="dxa"/>
            <w:tcBorders/>
            <w:tcMar>
              <w:bottom w:w="0" w:type="dxa"/>
            </w:tcMar>
            <w:vAlign w:val="center"/>
          </w:tcPr>
          <w:p>
            <w:pPr>
              <w:pStyle w:val="TableContents"/>
              <w:bidi w:val="0"/>
              <w:spacing w:before="0" w:after="283"/>
              <w:jc w:val="left"/>
              <w:rPr/>
            </w:pPr>
            <w:r>
              <w:rPr/>
              <w:t> </w:t>
            </w:r>
          </w:p>
        </w:tc>
        <w:tc>
          <w:tcPr>
            <w:tcW w:w="9247"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86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r>
              <w:rPr/>
              <w:t> </w:t>
            </w:r>
          </w:p>
        </w:tc>
      </w:tr>
      <w:tr>
        <w:trPr/>
        <w:tc>
          <w:tcPr>
            <w:tcW w:w="868" w:type="dxa"/>
            <w:tcBorders/>
            <w:shd w:fill="CCEEFF" w:val="clear"/>
            <w:tcMar>
              <w:bottom w:w="0" w:type="dxa"/>
            </w:tcMar>
            <w:vAlign w:val="center"/>
          </w:tcPr>
          <w:p>
            <w:pPr>
              <w:pStyle w:val="TableContents"/>
              <w:bidi w:val="0"/>
              <w:spacing w:before="0" w:after="283"/>
              <w:jc w:val="left"/>
              <w:rPr>
                <w:sz w:val="20"/>
              </w:rPr>
            </w:pPr>
            <w:r>
              <w:rPr>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3">
              <w:r>
                <w:rPr>
                  <w:rStyle w:val="InternetLink"/>
                  <w:sz w:val="20"/>
                </w:rPr>
                <w:t>Agreement and Plan of Reorganization, dated July 6, 2009, among Croff Enterprises, Inc., AMHN Acquisition Corp., America’s Minority Health Network, Inc., and the Major Shareholders(1)</w:t>
              </w:r>
            </w:hyperlink>
          </w:p>
        </w:tc>
      </w:tr>
      <w:tr>
        <w:trPr/>
        <w:tc>
          <w:tcPr>
            <w:tcW w:w="868" w:type="dxa"/>
            <w:tcBorders/>
            <w:tcMar>
              <w:bottom w:w="0" w:type="dxa"/>
            </w:tcMar>
            <w:vAlign w:val="center"/>
          </w:tcPr>
          <w:p>
            <w:pPr>
              <w:pStyle w:val="TableContents"/>
              <w:bidi w:val="0"/>
              <w:spacing w:before="0" w:after="283"/>
              <w:jc w:val="left"/>
              <w:rPr>
                <w:sz w:val="20"/>
              </w:rPr>
            </w:pPr>
            <w:r>
              <w:rPr>
                <w:sz w:val="20"/>
              </w:rPr>
              <w:t>2.2</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4">
              <w:r>
                <w:rPr>
                  <w:rStyle w:val="InternetLink"/>
                  <w:sz w:val="20"/>
                </w:rPr>
                <w:t>Agreement and Plan of Reorganization, dated June 11, 2010, among AMHN, Inc., SHN Acquisition Corp., Spectrum Health Network, Inc., and the Sole Shareholder of Spectrum Health Network, Inc.(2)</w:t>
              </w:r>
            </w:hyperlink>
          </w:p>
        </w:tc>
      </w:tr>
      <w:tr>
        <w:trPr/>
        <w:tc>
          <w:tcPr>
            <w:tcW w:w="868" w:type="dxa"/>
            <w:tcBorders/>
            <w:shd w:fill="CCEEFF" w:val="clear"/>
            <w:tcMar>
              <w:bottom w:w="0" w:type="dxa"/>
            </w:tcMar>
            <w:vAlign w:val="center"/>
          </w:tcPr>
          <w:p>
            <w:pPr>
              <w:pStyle w:val="TableContents"/>
              <w:bidi w:val="0"/>
              <w:spacing w:before="0" w:after="283"/>
              <w:jc w:val="left"/>
              <w:rPr>
                <w:sz w:val="20"/>
              </w:rPr>
            </w:pPr>
            <w:r>
              <w:rPr>
                <w:sz w:val="20"/>
              </w:rPr>
              <w:t>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5">
              <w:r>
                <w:rPr>
                  <w:rStyle w:val="InternetLink"/>
                  <w:sz w:val="20"/>
                </w:rPr>
                <w:t>Croff Enterprises, Inc. Plan of Corporate Division and Reorganization, dated October 25, 2007 (3)</w:t>
              </w:r>
            </w:hyperlink>
          </w:p>
        </w:tc>
      </w:tr>
      <w:tr>
        <w:trPr/>
        <w:tc>
          <w:tcPr>
            <w:tcW w:w="868" w:type="dxa"/>
            <w:tcBorders/>
            <w:tcMar>
              <w:bottom w:w="0" w:type="dxa"/>
            </w:tcMar>
            <w:vAlign w:val="center"/>
          </w:tcPr>
          <w:p>
            <w:pPr>
              <w:pStyle w:val="TableContents"/>
              <w:bidi w:val="0"/>
              <w:spacing w:before="0" w:after="283"/>
              <w:jc w:val="left"/>
              <w:rPr>
                <w:sz w:val="20"/>
              </w:rPr>
            </w:pPr>
            <w:r>
              <w:rPr>
                <w:sz w:val="20"/>
              </w:rPr>
              <w:t>2.4</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6">
              <w:r>
                <w:rPr>
                  <w:rStyle w:val="InternetLink"/>
                  <w:sz w:val="20"/>
                </w:rPr>
                <w:t>Agreement and Plan of Merger, dated July 18, 2011, among vitaMedMD, LLC, AMHN, Inc., and vitaMed Acquisition, LLC(4)</w:t>
              </w:r>
            </w:hyperlink>
          </w:p>
        </w:tc>
      </w:tr>
      <w:tr>
        <w:trPr/>
        <w:tc>
          <w:tcPr>
            <w:tcW w:w="868" w:type="dxa"/>
            <w:tcBorders/>
            <w:shd w:fill="CCEEFF" w:val="clear"/>
            <w:tcMar>
              <w:bottom w:w="0" w:type="dxa"/>
            </w:tcMar>
            <w:vAlign w:val="center"/>
          </w:tcPr>
          <w:p>
            <w:pPr>
              <w:pStyle w:val="TableContents"/>
              <w:bidi w:val="0"/>
              <w:spacing w:before="0" w:after="283"/>
              <w:jc w:val="left"/>
              <w:rPr>
                <w:sz w:val="20"/>
              </w:rPr>
            </w:pPr>
            <w:r>
              <w:rPr>
                <w:sz w:val="20"/>
              </w:rPr>
              <w:t>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7">
              <w:r>
                <w:rPr>
                  <w:rStyle w:val="InternetLink"/>
                  <w:sz w:val="20"/>
                </w:rPr>
                <w:t>Stock Purchase Agreement, dated March 6, 2022, by and between TherapeuticsMD, Inc. and GoodRx, Inc. (5)</w:t>
              </w:r>
            </w:hyperlink>
          </w:p>
        </w:tc>
      </w:tr>
      <w:tr>
        <w:trPr/>
        <w:tc>
          <w:tcPr>
            <w:tcW w:w="868" w:type="dxa"/>
            <w:tcBorders/>
            <w:tcMar>
              <w:bottom w:w="0" w:type="dxa"/>
            </w:tcMar>
            <w:vAlign w:val="center"/>
          </w:tcPr>
          <w:p>
            <w:pPr>
              <w:pStyle w:val="TableContents"/>
              <w:bidi w:val="0"/>
              <w:spacing w:before="0" w:after="283"/>
              <w:jc w:val="left"/>
              <w:rPr>
                <w:sz w:val="20"/>
              </w:rPr>
            </w:pPr>
            <w:r>
              <w:rPr>
                <w:sz w:val="20"/>
              </w:rPr>
              <w:t>3.1</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8">
              <w:r>
                <w:rPr>
                  <w:rStyle w:val="InternetLink"/>
                  <w:sz w:val="20"/>
                </w:rPr>
                <w:t>Articles of Conversion of AMHN, Inc. filed in the State of Nevada, dated July 20, 2010 (6)</w:t>
              </w:r>
            </w:hyperlink>
          </w:p>
        </w:tc>
      </w:tr>
      <w:tr>
        <w:trPr/>
        <w:tc>
          <w:tcPr>
            <w:tcW w:w="868" w:type="dxa"/>
            <w:tcBorders/>
            <w:shd w:fill="CCEEFF" w:val="clear"/>
            <w:tcMar>
              <w:bottom w:w="0" w:type="dxa"/>
            </w:tcMar>
            <w:vAlign w:val="center"/>
          </w:tcPr>
          <w:p>
            <w:pPr>
              <w:pStyle w:val="TableContents"/>
              <w:bidi w:val="0"/>
              <w:spacing w:before="0" w:after="283"/>
              <w:jc w:val="left"/>
              <w:rPr>
                <w:sz w:val="20"/>
              </w:rPr>
            </w:pPr>
            <w:r>
              <w:rPr>
                <w:sz w:val="20"/>
              </w:rPr>
              <w:t>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9">
              <w:r>
                <w:rPr>
                  <w:rStyle w:val="InternetLink"/>
                  <w:sz w:val="20"/>
                </w:rPr>
                <w:t>Articles of Incorporation of AMHN, Inc. filed in the State of Nevada, dated July 20, 2010 (6)</w:t>
              </w:r>
            </w:hyperlink>
          </w:p>
        </w:tc>
      </w:tr>
      <w:tr>
        <w:trPr/>
        <w:tc>
          <w:tcPr>
            <w:tcW w:w="868" w:type="dxa"/>
            <w:tcBorders/>
            <w:tcMar>
              <w:bottom w:w="0" w:type="dxa"/>
            </w:tcMar>
            <w:vAlign w:val="center"/>
          </w:tcPr>
          <w:p>
            <w:pPr>
              <w:pStyle w:val="TableContents"/>
              <w:bidi w:val="0"/>
              <w:spacing w:before="0" w:after="283"/>
              <w:jc w:val="left"/>
              <w:rPr>
                <w:sz w:val="20"/>
              </w:rPr>
            </w:pPr>
            <w:r>
              <w:rPr>
                <w:sz w:val="20"/>
              </w:rPr>
              <w:t>3.3</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10">
              <w:r>
                <w:rPr>
                  <w:rStyle w:val="InternetLink"/>
                  <w:sz w:val="20"/>
                </w:rPr>
                <w:t>Composite Amended and Restated Articles of Incorporation of the Company, as amended (7)</w:t>
              </w:r>
            </w:hyperlink>
          </w:p>
        </w:tc>
      </w:tr>
      <w:tr>
        <w:trPr/>
        <w:tc>
          <w:tcPr>
            <w:tcW w:w="868" w:type="dxa"/>
            <w:tcBorders/>
            <w:shd w:fill="CCEEFF" w:val="clear"/>
            <w:tcMar>
              <w:bottom w:w="0" w:type="dxa"/>
            </w:tcMar>
            <w:vAlign w:val="center"/>
          </w:tcPr>
          <w:p>
            <w:pPr>
              <w:pStyle w:val="TableContents"/>
              <w:bidi w:val="0"/>
              <w:spacing w:before="0" w:after="283"/>
              <w:jc w:val="left"/>
              <w:rPr>
                <w:sz w:val="20"/>
              </w:rPr>
            </w:pPr>
            <w:r>
              <w:rPr>
                <w:sz w:val="20"/>
              </w:rPr>
              <w:t>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11">
              <w:r>
                <w:rPr>
                  <w:rStyle w:val="InternetLink"/>
                  <w:sz w:val="20"/>
                </w:rPr>
                <w:t>Bylaws of the AMHN, Inc. (8)</w:t>
              </w:r>
            </w:hyperlink>
          </w:p>
        </w:tc>
      </w:tr>
      <w:tr>
        <w:trPr/>
        <w:tc>
          <w:tcPr>
            <w:tcW w:w="868" w:type="dxa"/>
            <w:tcBorders/>
            <w:tcMar>
              <w:bottom w:w="0" w:type="dxa"/>
            </w:tcMar>
            <w:vAlign w:val="center"/>
          </w:tcPr>
          <w:p>
            <w:pPr>
              <w:pStyle w:val="TableContents"/>
              <w:bidi w:val="0"/>
              <w:spacing w:before="0" w:after="283"/>
              <w:jc w:val="left"/>
              <w:rPr>
                <w:sz w:val="20"/>
              </w:rPr>
            </w:pPr>
            <w:r>
              <w:rPr>
                <w:sz w:val="20"/>
              </w:rPr>
              <w:t>3.5</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12">
              <w:r>
                <w:rPr>
                  <w:rStyle w:val="InternetLink"/>
                  <w:sz w:val="20"/>
                </w:rPr>
                <w:t>First Amendment to Bylaws of the Company, dated December 17, 2015 (9)</w:t>
              </w:r>
            </w:hyperlink>
          </w:p>
        </w:tc>
      </w:tr>
      <w:tr>
        <w:trPr/>
        <w:tc>
          <w:tcPr>
            <w:tcW w:w="868" w:type="dxa"/>
            <w:tcBorders/>
            <w:shd w:fill="CCEEFF" w:val="clear"/>
            <w:tcMar>
              <w:bottom w:w="0" w:type="dxa"/>
            </w:tcMar>
            <w:vAlign w:val="center"/>
          </w:tcPr>
          <w:p>
            <w:pPr>
              <w:pStyle w:val="TableContents"/>
              <w:bidi w:val="0"/>
              <w:spacing w:before="0" w:after="283"/>
              <w:jc w:val="left"/>
              <w:rPr>
                <w:sz w:val="20"/>
              </w:rPr>
            </w:pPr>
            <w:r>
              <w:rPr>
                <w:sz w:val="20"/>
              </w:rPr>
              <w:t>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13">
              <w:r>
                <w:rPr>
                  <w:rStyle w:val="InternetLink"/>
                  <w:sz w:val="20"/>
                </w:rPr>
                <w:t>Second Amendment to Bylaws of the Company, adopted May 27, 2022 (10)</w:t>
              </w:r>
            </w:hyperlink>
          </w:p>
        </w:tc>
      </w:tr>
      <w:tr>
        <w:trPr/>
        <w:tc>
          <w:tcPr>
            <w:tcW w:w="868" w:type="dxa"/>
            <w:tcBorders/>
            <w:tcMar>
              <w:bottom w:w="0" w:type="dxa"/>
            </w:tcMar>
            <w:vAlign w:val="center"/>
          </w:tcPr>
          <w:p>
            <w:pPr>
              <w:pStyle w:val="TableContents"/>
              <w:bidi w:val="0"/>
              <w:spacing w:before="0" w:after="283"/>
              <w:jc w:val="left"/>
              <w:rPr>
                <w:sz w:val="20"/>
              </w:rPr>
            </w:pPr>
            <w:r>
              <w:rPr>
                <w:sz w:val="20"/>
              </w:rPr>
              <w:t>3.7</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14">
              <w:r>
                <w:rPr>
                  <w:rStyle w:val="InternetLink"/>
                  <w:sz w:val="20"/>
                </w:rPr>
                <w:t>Third Amendment to Bylaws of the Company, dated July 29, 2022 (11)</w:t>
              </w:r>
            </w:hyperlink>
          </w:p>
        </w:tc>
      </w:tr>
      <w:tr>
        <w:trPr/>
        <w:tc>
          <w:tcPr>
            <w:tcW w:w="868" w:type="dxa"/>
            <w:tcBorders/>
            <w:shd w:fill="CCEEFF" w:val="clear"/>
            <w:tcMar>
              <w:bottom w:w="0" w:type="dxa"/>
            </w:tcMar>
            <w:vAlign w:val="center"/>
          </w:tcPr>
          <w:p>
            <w:pPr>
              <w:pStyle w:val="TableContents"/>
              <w:bidi w:val="0"/>
              <w:spacing w:before="0" w:after="283"/>
              <w:jc w:val="left"/>
              <w:rPr>
                <w:sz w:val="20"/>
              </w:rPr>
            </w:pPr>
            <w:r>
              <w:rPr>
                <w:sz w:val="20"/>
              </w:rPr>
              <w:t>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15">
              <w:r>
                <w:rPr>
                  <w:rStyle w:val="InternetLink"/>
                  <w:sz w:val="20"/>
                </w:rPr>
                <w:t>Certificate of Change to Articles of Incorporation of the Company (12)</w:t>
              </w:r>
            </w:hyperlink>
          </w:p>
        </w:tc>
      </w:tr>
      <w:tr>
        <w:trPr/>
        <w:tc>
          <w:tcPr>
            <w:tcW w:w="868" w:type="dxa"/>
            <w:tcBorders/>
            <w:tcMar>
              <w:bottom w:w="0" w:type="dxa"/>
            </w:tcMar>
            <w:vAlign w:val="center"/>
          </w:tcPr>
          <w:p>
            <w:pPr>
              <w:pStyle w:val="TableContents"/>
              <w:bidi w:val="0"/>
              <w:spacing w:before="0" w:after="283"/>
              <w:jc w:val="left"/>
              <w:rPr>
                <w:sz w:val="20"/>
              </w:rPr>
            </w:pPr>
            <w:r>
              <w:rPr>
                <w:sz w:val="20"/>
              </w:rPr>
              <w:t>3.9</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16">
              <w:r>
                <w:rPr>
                  <w:rStyle w:val="InternetLink"/>
                  <w:sz w:val="20"/>
                </w:rPr>
                <w:t>Certificate of Designation, Preferences and Rights of Series A Preferred Stock (11)</w:t>
              </w:r>
            </w:hyperlink>
          </w:p>
        </w:tc>
      </w:tr>
      <w:tr>
        <w:trPr/>
        <w:tc>
          <w:tcPr>
            <w:tcW w:w="868" w:type="dxa"/>
            <w:tcBorders/>
            <w:shd w:fill="CCEEFF" w:val="clear"/>
            <w:tcMar>
              <w:bottom w:w="0" w:type="dxa"/>
            </w:tcMar>
            <w:vAlign w:val="center"/>
          </w:tcPr>
          <w:p>
            <w:pPr>
              <w:pStyle w:val="TableContents"/>
              <w:bidi w:val="0"/>
              <w:spacing w:before="0" w:after="283"/>
              <w:jc w:val="left"/>
              <w:rPr>
                <w:sz w:val="20"/>
              </w:rPr>
            </w:pPr>
            <w:r>
              <w:rPr>
                <w:sz w:val="20"/>
              </w:rPr>
              <w:t>3.10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17">
              <w:r>
                <w:rPr>
                  <w:rStyle w:val="InternetLink"/>
                  <w:sz w:val="20"/>
                </w:rPr>
                <w:t>Fourth Amendment to Bylaws of the Company, dated June 29, 2023 (13)</w:t>
              </w:r>
            </w:hyperlink>
          </w:p>
        </w:tc>
      </w:tr>
      <w:tr>
        <w:trPr/>
        <w:tc>
          <w:tcPr>
            <w:tcW w:w="868" w:type="dxa"/>
            <w:tcBorders/>
            <w:tcMar>
              <w:bottom w:w="0" w:type="dxa"/>
            </w:tcMar>
            <w:vAlign w:val="center"/>
          </w:tcPr>
          <w:p>
            <w:pPr>
              <w:pStyle w:val="TableContents"/>
              <w:bidi w:val="0"/>
              <w:spacing w:before="0" w:after="283"/>
              <w:jc w:val="left"/>
              <w:rPr>
                <w:sz w:val="20"/>
              </w:rPr>
            </w:pPr>
            <w:r>
              <w:rPr>
                <w:sz w:val="20"/>
              </w:rPr>
              <w:t>4.1</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18">
              <w:r>
                <w:rPr>
                  <w:rStyle w:val="InternetLink"/>
                  <w:sz w:val="20"/>
                </w:rPr>
                <w:t>Form of Certificate of Common Stock (14)</w:t>
              </w:r>
            </w:hyperlink>
          </w:p>
        </w:tc>
      </w:tr>
      <w:tr>
        <w:trPr/>
        <w:tc>
          <w:tcPr>
            <w:tcW w:w="868" w:type="dxa"/>
            <w:tcBorders/>
            <w:shd w:fill="CCEEFF" w:val="clear"/>
            <w:tcMar>
              <w:bottom w:w="0" w:type="dxa"/>
            </w:tcMar>
            <w:vAlign w:val="center"/>
          </w:tcPr>
          <w:p>
            <w:pPr>
              <w:pStyle w:val="TableContents"/>
              <w:bidi w:val="0"/>
              <w:spacing w:before="0" w:after="283"/>
              <w:jc w:val="left"/>
              <w:rPr>
                <w:sz w:val="20"/>
              </w:rPr>
            </w:pPr>
            <w:r>
              <w:rPr>
                <w:sz w:val="20"/>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19">
              <w:r>
                <w:rPr>
                  <w:rStyle w:val="InternetLink"/>
                  <w:sz w:val="20"/>
                </w:rPr>
                <w:t>Description of Securities of the Company (15)</w:t>
              </w:r>
            </w:hyperlink>
          </w:p>
        </w:tc>
      </w:tr>
      <w:tr>
        <w:trPr/>
        <w:tc>
          <w:tcPr>
            <w:tcW w:w="868" w:type="dxa"/>
            <w:tcBorders/>
            <w:tcMar>
              <w:bottom w:w="0" w:type="dxa"/>
            </w:tcMar>
            <w:vAlign w:val="center"/>
          </w:tcPr>
          <w:p>
            <w:pPr>
              <w:pStyle w:val="TableContents"/>
              <w:bidi w:val="0"/>
              <w:spacing w:before="0" w:after="283"/>
              <w:jc w:val="left"/>
              <w:rPr>
                <w:sz w:val="20"/>
              </w:rPr>
            </w:pPr>
            <w:r>
              <w:rPr>
                <w:sz w:val="20"/>
              </w:rPr>
              <w:t>10.1</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20">
              <w:r>
                <w:rPr>
                  <w:rStyle w:val="InternetLink"/>
                  <w:sz w:val="20"/>
                </w:rPr>
                <w:t>Form of Common Stock Purchase Warrant (16)</w:t>
              </w:r>
            </w:hyperlink>
          </w:p>
        </w:tc>
      </w:tr>
      <w:tr>
        <w:trPr/>
        <w:tc>
          <w:tcPr>
            <w:tcW w:w="868" w:type="dxa"/>
            <w:tcBorders/>
            <w:shd w:fill="CCEEFF" w:val="clear"/>
            <w:tcMar>
              <w:bottom w:w="0" w:type="dxa"/>
            </w:tcMar>
            <w:vAlign w:val="center"/>
          </w:tcPr>
          <w:p>
            <w:pPr>
              <w:pStyle w:val="TableContents"/>
              <w:bidi w:val="0"/>
              <w:spacing w:before="0" w:after="283"/>
              <w:jc w:val="left"/>
              <w:rPr>
                <w:sz w:val="20"/>
              </w:rPr>
            </w:pPr>
            <w:r>
              <w:rPr>
                <w:sz w:val="20"/>
              </w:rPr>
              <w:t>10.2*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21">
              <w:r>
                <w:rPr>
                  <w:rStyle w:val="InternetLink"/>
                  <w:sz w:val="20"/>
                </w:rPr>
                <w:t>Form of Non-Qualified Stock Option Agreement (16)</w:t>
              </w:r>
            </w:hyperlink>
          </w:p>
        </w:tc>
      </w:tr>
      <w:tr>
        <w:trPr/>
        <w:tc>
          <w:tcPr>
            <w:tcW w:w="868" w:type="dxa"/>
            <w:tcBorders/>
            <w:tcMar>
              <w:bottom w:w="0" w:type="dxa"/>
            </w:tcMar>
            <w:vAlign w:val="center"/>
          </w:tcPr>
          <w:p>
            <w:pPr>
              <w:pStyle w:val="TableContents"/>
              <w:bidi w:val="0"/>
              <w:spacing w:before="0" w:after="283"/>
              <w:jc w:val="left"/>
              <w:rPr>
                <w:sz w:val="20"/>
              </w:rPr>
            </w:pPr>
            <w:r>
              <w:rPr>
                <w:sz w:val="20"/>
              </w:rPr>
              <w:t>10.3*</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22">
              <w:r>
                <w:rPr>
                  <w:rStyle w:val="InternetLink"/>
                  <w:sz w:val="20"/>
                </w:rPr>
                <w:t>TherapeuticsMD, Inc. 2019 Stock Incentive Plan (17)</w:t>
              </w:r>
            </w:hyperlink>
          </w:p>
        </w:tc>
      </w:tr>
      <w:tr>
        <w:trPr/>
        <w:tc>
          <w:tcPr>
            <w:tcW w:w="868"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r>
              <w:fldChar w:fldCharType="begin"/>
            </w:r>
            <w:r>
              <w:rPr>
                <w:rStyle w:val="InternetLink"/>
                <w:sz w:val="20"/>
              </w:rPr>
              <w:instrText xml:space="preserve"> HYPERLINK "http://www.sec.gov/Archives/edgar/data/25743/000119312521116458/d152560ddef14a.htm" \l "tx152560_61"</w:instrText>
            </w:r>
            <w:r>
              <w:rPr>
                <w:rStyle w:val="InternetLink"/>
                <w:sz w:val="20"/>
              </w:rPr>
              <w:fldChar w:fldCharType="separate"/>
            </w:r>
            <w:r>
              <w:rPr>
                <w:rStyle w:val="InternetLink"/>
                <w:sz w:val="20"/>
              </w:rPr>
              <w:t>First Amendment to the TherapeuticsMD, Inc. 2019 Stock Incentive Plan (18)</w:t>
            </w:r>
            <w:r>
              <w:rPr>
                <w:rStyle w:val="InternetLink"/>
                <w:sz w:val="20"/>
              </w:rPr>
              <w:fldChar w:fldCharType="end"/>
            </w:r>
          </w:p>
        </w:tc>
      </w:tr>
      <w:tr>
        <w:trPr/>
        <w:tc>
          <w:tcPr>
            <w:tcW w:w="868" w:type="dxa"/>
            <w:tcBorders/>
            <w:tcMar>
              <w:bottom w:w="0" w:type="dxa"/>
            </w:tcMar>
            <w:vAlign w:val="center"/>
          </w:tcPr>
          <w:p>
            <w:pPr>
              <w:pStyle w:val="TableContents"/>
              <w:bidi w:val="0"/>
              <w:spacing w:before="0" w:after="283"/>
              <w:jc w:val="left"/>
              <w:rPr>
                <w:sz w:val="20"/>
              </w:rPr>
            </w:pPr>
            <w:r>
              <w:rPr>
                <w:sz w:val="20"/>
              </w:rPr>
              <w:t>10.5*</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23">
              <w:r>
                <w:rPr>
                  <w:rStyle w:val="InternetLink"/>
                  <w:sz w:val="20"/>
                </w:rPr>
                <w:t>Amended and Restated 2012 Stock Incentive Plan (19)</w:t>
              </w:r>
            </w:hyperlink>
          </w:p>
        </w:tc>
      </w:tr>
      <w:tr>
        <w:trPr/>
        <w:tc>
          <w:tcPr>
            <w:tcW w:w="868" w:type="dxa"/>
            <w:tcBorders/>
            <w:shd w:fill="CCEEFF" w:val="clear"/>
            <w:tcMar>
              <w:bottom w:w="0" w:type="dxa"/>
            </w:tcMar>
            <w:vAlign w:val="center"/>
          </w:tcPr>
          <w:p>
            <w:pPr>
              <w:pStyle w:val="TableContents"/>
              <w:bidi w:val="0"/>
              <w:spacing w:before="0" w:after="283"/>
              <w:jc w:val="left"/>
              <w:rPr>
                <w:sz w:val="20"/>
              </w:rPr>
            </w:pPr>
            <w:r>
              <w:rPr>
                <w:sz w:val="20"/>
              </w:rPr>
              <w:t>10.6*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24">
              <w:r>
                <w:rPr>
                  <w:rStyle w:val="InternetLink"/>
                  <w:sz w:val="20"/>
                </w:rPr>
                <w:t>2009 Long Term Incentive Compensation Plan, as amended (20)</w:t>
              </w:r>
            </w:hyperlink>
          </w:p>
        </w:tc>
      </w:tr>
      <w:tr>
        <w:trPr/>
        <w:tc>
          <w:tcPr>
            <w:tcW w:w="868" w:type="dxa"/>
            <w:tcBorders/>
            <w:tcMar>
              <w:bottom w:w="0" w:type="dxa"/>
            </w:tcMar>
            <w:vAlign w:val="center"/>
          </w:tcPr>
          <w:p>
            <w:pPr>
              <w:pStyle w:val="TableContents"/>
              <w:bidi w:val="0"/>
              <w:spacing w:before="0" w:after="283"/>
              <w:jc w:val="left"/>
              <w:rPr>
                <w:sz w:val="20"/>
              </w:rPr>
            </w:pPr>
            <w:r>
              <w:rPr>
                <w:sz w:val="20"/>
              </w:rPr>
              <w:t>10.7*</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r>
              <w:fldChar w:fldCharType="begin"/>
            </w:r>
            <w:r>
              <w:rPr>
                <w:rStyle w:val="InternetLink"/>
                <w:sz w:val="20"/>
              </w:rPr>
              <w:instrText xml:space="preserve"> HYPERLINK "http://www.sec.gov/Archives/edgar/data/25743/000138713120004409/txmd-def14a_061820.htm" \l "txmd_027"</w:instrText>
            </w:r>
            <w:r>
              <w:rPr>
                <w:rStyle w:val="InternetLink"/>
                <w:sz w:val="20"/>
              </w:rPr>
              <w:fldChar w:fldCharType="separate"/>
            </w:r>
            <w:r>
              <w:rPr>
                <w:rStyle w:val="InternetLink"/>
                <w:sz w:val="20"/>
              </w:rPr>
              <w:t>TherapeuticsMD, Inc. 2020 Employee Stock Purchase Plan (21)</w:t>
            </w:r>
            <w:r>
              <w:rPr>
                <w:rStyle w:val="InternetLink"/>
                <w:sz w:val="20"/>
              </w:rPr>
              <w:fldChar w:fldCharType="end"/>
            </w:r>
          </w:p>
        </w:tc>
      </w:tr>
      <w:tr>
        <w:trPr/>
        <w:tc>
          <w:tcPr>
            <w:tcW w:w="868" w:type="dxa"/>
            <w:tcBorders/>
            <w:shd w:fill="CCEEFF" w:val="clear"/>
            <w:tcMar>
              <w:bottom w:w="0" w:type="dxa"/>
            </w:tcMar>
            <w:vAlign w:val="center"/>
          </w:tcPr>
          <w:p>
            <w:pPr>
              <w:pStyle w:val="TableContents"/>
              <w:bidi w:val="0"/>
              <w:spacing w:before="0" w:after="283"/>
              <w:jc w:val="left"/>
              <w:rPr>
                <w:sz w:val="20"/>
              </w:rPr>
            </w:pPr>
            <w:r>
              <w:rPr>
                <w:sz w:val="20"/>
              </w:rPr>
              <w:t>10.8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25">
              <w:r>
                <w:rPr>
                  <w:rStyle w:val="InternetLink"/>
                  <w:sz w:val="20"/>
                </w:rPr>
                <w:t>Form of Common Stock Purchase Warrant, dated February 24, 2012 (22)</w:t>
              </w:r>
            </w:hyperlink>
          </w:p>
        </w:tc>
      </w:tr>
      <w:tr>
        <w:trPr/>
        <w:tc>
          <w:tcPr>
            <w:tcW w:w="868" w:type="dxa"/>
            <w:tcBorders/>
            <w:tcMar>
              <w:bottom w:w="0" w:type="dxa"/>
            </w:tcMar>
            <w:vAlign w:val="center"/>
          </w:tcPr>
          <w:p>
            <w:pPr>
              <w:pStyle w:val="TableContents"/>
              <w:bidi w:val="0"/>
              <w:spacing w:before="0" w:after="283"/>
              <w:jc w:val="left"/>
              <w:rPr>
                <w:sz w:val="20"/>
              </w:rPr>
            </w:pPr>
            <w:r>
              <w:rPr>
                <w:sz w:val="20"/>
              </w:rPr>
              <w:t>10.9</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26">
              <w:r>
                <w:rPr>
                  <w:rStyle w:val="InternetLink"/>
                  <w:sz w:val="20"/>
                </w:rPr>
                <w:t>Common Stock Purchase Warrant, issued to Plato &amp; Associates, LLC, dated January 31, 2013 (23)</w:t>
              </w:r>
            </w:hyperlink>
          </w:p>
        </w:tc>
      </w:tr>
      <w:tr>
        <w:trPr/>
        <w:tc>
          <w:tcPr>
            <w:tcW w:w="868" w:type="dxa"/>
            <w:tcBorders/>
            <w:shd w:fill="CCEEFF" w:val="clear"/>
            <w:tcMar>
              <w:bottom w:w="0" w:type="dxa"/>
            </w:tcMar>
            <w:vAlign w:val="center"/>
          </w:tcPr>
          <w:p>
            <w:pPr>
              <w:pStyle w:val="TableContents"/>
              <w:bidi w:val="0"/>
              <w:spacing w:before="0" w:after="283"/>
              <w:jc w:val="left"/>
              <w:rPr>
                <w:sz w:val="20"/>
              </w:rPr>
            </w:pPr>
            <w:r>
              <w:rPr>
                <w:sz w:val="20"/>
              </w:rPr>
              <w:t>10.10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27">
              <w:r>
                <w:rPr>
                  <w:rStyle w:val="InternetLink"/>
                  <w:sz w:val="20"/>
                </w:rPr>
                <w:t>Form of Warrant to Purchase Common Stock, dated August 5, 2020 (24)</w:t>
              </w:r>
            </w:hyperlink>
          </w:p>
        </w:tc>
      </w:tr>
      <w:tr>
        <w:trPr/>
        <w:tc>
          <w:tcPr>
            <w:tcW w:w="868" w:type="dxa"/>
            <w:tcBorders/>
            <w:tcMar>
              <w:bottom w:w="0" w:type="dxa"/>
            </w:tcMar>
            <w:vAlign w:val="center"/>
          </w:tcPr>
          <w:p>
            <w:pPr>
              <w:pStyle w:val="TableContents"/>
              <w:bidi w:val="0"/>
              <w:spacing w:before="0" w:after="283"/>
              <w:jc w:val="left"/>
              <w:rPr>
                <w:sz w:val="20"/>
              </w:rPr>
            </w:pPr>
            <w:r>
              <w:rPr>
                <w:sz w:val="20"/>
              </w:rPr>
              <w:t>10.11</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28">
              <w:r>
                <w:rPr>
                  <w:rStyle w:val="InternetLink"/>
                  <w:sz w:val="20"/>
                </w:rPr>
                <w:t>Amendment to Company Warrant issued by the Company to the Subscribers party to that certain Subscription Agreement, dated as of August 5, 2020, dated November 8, 2020 (25)</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
        <w:gridCol w:w="90"/>
        <w:gridCol w:w="9371"/>
      </w:tblGrid>
      <w:tr>
        <w:trPr/>
        <w:tc>
          <w:tcPr>
            <w:tcW w:w="744" w:type="dxa"/>
            <w:tcBorders/>
            <w:shd w:fill="CCEEFF" w:val="clear"/>
            <w:vAlign w:val="center"/>
          </w:tcPr>
          <w:p>
            <w:pPr>
              <w:pStyle w:val="TableContents"/>
              <w:bidi w:val="0"/>
              <w:spacing w:before="0" w:after="283"/>
              <w:jc w:val="left"/>
              <w:rPr>
                <w:sz w:val="20"/>
              </w:rPr>
            </w:pPr>
            <w:r>
              <w:rPr>
                <w:sz w:val="20"/>
              </w:rPr>
              <w:t>10.12</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29">
              <w:r>
                <w:rPr>
                  <w:rStyle w:val="InternetLink"/>
                  <w:sz w:val="20"/>
                </w:rPr>
                <w:t xml:space="preserve">Second Amendment to Company Warrant issued by the Company to the Subscribers party to that certain Subscription Agreement, dated as of August 5, 2020 (26) </w:t>
              </w:r>
            </w:hyperlink>
          </w:p>
        </w:tc>
      </w:tr>
      <w:tr>
        <w:trPr/>
        <w:tc>
          <w:tcPr>
            <w:tcW w:w="744" w:type="dxa"/>
            <w:tcBorders/>
            <w:vAlign w:val="center"/>
          </w:tcPr>
          <w:p>
            <w:pPr>
              <w:pStyle w:val="TableContents"/>
              <w:bidi w:val="0"/>
              <w:spacing w:before="0" w:after="283"/>
              <w:jc w:val="left"/>
              <w:rPr>
                <w:sz w:val="20"/>
              </w:rPr>
            </w:pPr>
            <w:r>
              <w:rPr>
                <w:sz w:val="20"/>
              </w:rPr>
              <w:t>10.13</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30">
              <w:r>
                <w:rPr>
                  <w:rStyle w:val="InternetLink"/>
                  <w:sz w:val="20"/>
                </w:rPr>
                <w:t>Warrant issued by the Company to Robert Finizio (26)</w:t>
              </w:r>
            </w:hyperlink>
          </w:p>
        </w:tc>
      </w:tr>
      <w:tr>
        <w:trPr/>
        <w:tc>
          <w:tcPr>
            <w:tcW w:w="744" w:type="dxa"/>
            <w:tcBorders/>
            <w:shd w:fill="CCEEFF" w:val="clear"/>
            <w:vAlign w:val="center"/>
          </w:tcPr>
          <w:p>
            <w:pPr>
              <w:pStyle w:val="TableContents"/>
              <w:bidi w:val="0"/>
              <w:spacing w:before="0" w:after="283"/>
              <w:jc w:val="left"/>
              <w:rPr>
                <w:sz w:val="20"/>
              </w:rPr>
            </w:pPr>
            <w:r>
              <w:rPr>
                <w:sz w:val="20"/>
              </w:rPr>
              <w:t>10.14</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31">
              <w:r>
                <w:rPr>
                  <w:rStyle w:val="InternetLink"/>
                  <w:sz w:val="20"/>
                </w:rPr>
                <w:t>Amendment to Warrant issued by the Company to Robert Finizio (26)</w:t>
              </w:r>
            </w:hyperlink>
          </w:p>
        </w:tc>
      </w:tr>
      <w:tr>
        <w:trPr/>
        <w:tc>
          <w:tcPr>
            <w:tcW w:w="744" w:type="dxa"/>
            <w:tcBorders/>
            <w:vAlign w:val="center"/>
          </w:tcPr>
          <w:p>
            <w:pPr>
              <w:pStyle w:val="TableContents"/>
              <w:bidi w:val="0"/>
              <w:spacing w:before="0" w:after="283"/>
              <w:jc w:val="left"/>
              <w:rPr>
                <w:sz w:val="20"/>
              </w:rPr>
            </w:pPr>
            <w:r>
              <w:rPr>
                <w:sz w:val="20"/>
              </w:rPr>
              <w:t>10.15*</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32">
              <w:r>
                <w:rPr>
                  <w:rStyle w:val="InternetLink"/>
                  <w:sz w:val="20"/>
                </w:rPr>
                <w:t>Warrant issued by the Company to John C.K. Milligan, IV (26)</w:t>
              </w:r>
            </w:hyperlink>
          </w:p>
        </w:tc>
      </w:tr>
      <w:tr>
        <w:trPr/>
        <w:tc>
          <w:tcPr>
            <w:tcW w:w="744" w:type="dxa"/>
            <w:tcBorders/>
            <w:shd w:fill="CCEEFF" w:val="clear"/>
            <w:vAlign w:val="center"/>
          </w:tcPr>
          <w:p>
            <w:pPr>
              <w:pStyle w:val="TableContents"/>
              <w:bidi w:val="0"/>
              <w:spacing w:before="0" w:after="283"/>
              <w:jc w:val="left"/>
              <w:rPr>
                <w:sz w:val="20"/>
              </w:rPr>
            </w:pPr>
            <w:r>
              <w:rPr>
                <w:sz w:val="20"/>
              </w:rPr>
              <w:t>10.16*</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33">
              <w:r>
                <w:rPr>
                  <w:rStyle w:val="InternetLink"/>
                  <w:sz w:val="20"/>
                </w:rPr>
                <w:t>Amendment to Warrant issued by the Company to John C.K. Milligan, IV (26)</w:t>
              </w:r>
            </w:hyperlink>
          </w:p>
        </w:tc>
      </w:tr>
      <w:tr>
        <w:trPr/>
        <w:tc>
          <w:tcPr>
            <w:tcW w:w="744" w:type="dxa"/>
            <w:tcBorders/>
            <w:vAlign w:val="center"/>
          </w:tcPr>
          <w:p>
            <w:pPr>
              <w:pStyle w:val="TableContents"/>
              <w:bidi w:val="0"/>
              <w:spacing w:before="0" w:after="283"/>
              <w:jc w:val="left"/>
              <w:rPr>
                <w:sz w:val="20"/>
              </w:rPr>
            </w:pPr>
            <w:r>
              <w:rPr>
                <w:sz w:val="20"/>
              </w:rPr>
              <w:t>10.17</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34">
              <w:r>
                <w:rPr>
                  <w:rStyle w:val="InternetLink"/>
                  <w:sz w:val="20"/>
                </w:rPr>
                <w:t>Subscription Agreement, dated August 5, 2020, by and among TherapeuticsMD, Inc. and the Subscribers identified on the Schedule of Subscribers attached thereto (24)</w:t>
              </w:r>
            </w:hyperlink>
          </w:p>
        </w:tc>
      </w:tr>
      <w:tr>
        <w:trPr/>
        <w:tc>
          <w:tcPr>
            <w:tcW w:w="744" w:type="dxa"/>
            <w:tcBorders/>
            <w:shd w:fill="CCEEFF" w:val="clear"/>
            <w:vAlign w:val="center"/>
          </w:tcPr>
          <w:p>
            <w:pPr>
              <w:pStyle w:val="TableContents"/>
              <w:bidi w:val="0"/>
              <w:spacing w:before="0" w:after="283"/>
              <w:jc w:val="left"/>
              <w:rPr>
                <w:sz w:val="20"/>
              </w:rPr>
            </w:pPr>
            <w:r>
              <w:rPr>
                <w:sz w:val="20"/>
              </w:rPr>
              <w:t>10.18***</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35">
              <w:r>
                <w:rPr>
                  <w:rStyle w:val="InternetLink"/>
                  <w:sz w:val="20"/>
                </w:rPr>
                <w:t>License Agreement, dated July 30, 2018, by and between TherapeuticsMD, Inc. and The Population Council, Inc. (27)</w:t>
              </w:r>
            </w:hyperlink>
          </w:p>
        </w:tc>
      </w:tr>
      <w:tr>
        <w:trPr/>
        <w:tc>
          <w:tcPr>
            <w:tcW w:w="744" w:type="dxa"/>
            <w:tcBorders/>
            <w:vAlign w:val="center"/>
          </w:tcPr>
          <w:p>
            <w:pPr>
              <w:pStyle w:val="TableContents"/>
              <w:bidi w:val="0"/>
              <w:spacing w:before="0" w:after="283"/>
              <w:jc w:val="left"/>
              <w:rPr>
                <w:sz w:val="20"/>
              </w:rPr>
            </w:pPr>
            <w:r>
              <w:rPr>
                <w:sz w:val="20"/>
              </w:rPr>
              <w:t>10.19***</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36">
              <w:r>
                <w:rPr>
                  <w:rStyle w:val="InternetLink"/>
                  <w:sz w:val="20"/>
                </w:rPr>
                <w:t>Lease, dated October 5, 2018, by and between 951 Yamato Acquisition Company, LLC and TherapeuticsMD, Inc. (28)</w:t>
              </w:r>
            </w:hyperlink>
          </w:p>
        </w:tc>
      </w:tr>
      <w:tr>
        <w:trPr/>
        <w:tc>
          <w:tcPr>
            <w:tcW w:w="744" w:type="dxa"/>
            <w:tcBorders/>
            <w:shd w:fill="CCEEFF" w:val="clear"/>
            <w:vAlign w:val="center"/>
          </w:tcPr>
          <w:p>
            <w:pPr>
              <w:pStyle w:val="TableContents"/>
              <w:bidi w:val="0"/>
              <w:spacing w:before="0" w:after="283"/>
              <w:jc w:val="left"/>
              <w:rPr>
                <w:sz w:val="20"/>
              </w:rPr>
            </w:pPr>
            <w:r>
              <w:rPr>
                <w:sz w:val="20"/>
              </w:rPr>
              <w:t>10.20***</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37">
              <w:r>
                <w:rPr>
                  <w:rStyle w:val="InternetLink"/>
                  <w:sz w:val="20"/>
                </w:rPr>
                <w:t>License and Supply Agreement, dated June 6, 2019, by and between TherapeuticsMD, Inc. and Theramex HQ UK Limited (29)</w:t>
              </w:r>
            </w:hyperlink>
          </w:p>
        </w:tc>
      </w:tr>
      <w:tr>
        <w:trPr/>
        <w:tc>
          <w:tcPr>
            <w:tcW w:w="744" w:type="dxa"/>
            <w:tcBorders/>
            <w:vAlign w:val="center"/>
          </w:tcPr>
          <w:p>
            <w:pPr>
              <w:pStyle w:val="TableContents"/>
              <w:bidi w:val="0"/>
              <w:spacing w:before="0" w:after="283"/>
              <w:jc w:val="left"/>
              <w:rPr>
                <w:sz w:val="20"/>
              </w:rPr>
            </w:pPr>
            <w:r>
              <w:rPr>
                <w:sz w:val="20"/>
              </w:rPr>
              <w:t>10.21*</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38">
              <w:r>
                <w:rPr>
                  <w:rStyle w:val="InternetLink"/>
                  <w:sz w:val="20"/>
                </w:rPr>
                <w:t>Form of Indemnification Agreement between TherapeuticsMD, Inc. and each of its executive officers and directors (25)</w:t>
              </w:r>
            </w:hyperlink>
          </w:p>
        </w:tc>
      </w:tr>
      <w:tr>
        <w:trPr/>
        <w:tc>
          <w:tcPr>
            <w:tcW w:w="744" w:type="dxa"/>
            <w:tcBorders/>
            <w:shd w:fill="CCEEFF" w:val="clear"/>
            <w:vAlign w:val="center"/>
          </w:tcPr>
          <w:p>
            <w:pPr>
              <w:pStyle w:val="TableContents"/>
              <w:bidi w:val="0"/>
              <w:spacing w:before="0" w:after="283"/>
              <w:jc w:val="left"/>
              <w:rPr>
                <w:sz w:val="20"/>
              </w:rPr>
            </w:pPr>
            <w:r>
              <w:rPr>
                <w:sz w:val="20"/>
              </w:rPr>
              <w:t>10.22*</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39">
              <w:r>
                <w:rPr>
                  <w:rStyle w:val="InternetLink"/>
                  <w:sz w:val="20"/>
                </w:rPr>
                <w:t>2022 Executive Retention and Performance Bonus Plan. (ERB-Plan) (30)</w:t>
              </w:r>
            </w:hyperlink>
          </w:p>
        </w:tc>
      </w:tr>
      <w:tr>
        <w:trPr/>
        <w:tc>
          <w:tcPr>
            <w:tcW w:w="744" w:type="dxa"/>
            <w:tcBorders/>
            <w:vAlign w:val="center"/>
          </w:tcPr>
          <w:p>
            <w:pPr>
              <w:pStyle w:val="TableContents"/>
              <w:bidi w:val="0"/>
              <w:spacing w:before="0" w:after="283"/>
              <w:jc w:val="left"/>
              <w:rPr>
                <w:sz w:val="20"/>
              </w:rPr>
            </w:pPr>
            <w:r>
              <w:rPr>
                <w:sz w:val="20"/>
              </w:rPr>
              <w:t>10.23</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40">
              <w:r>
                <w:rPr>
                  <w:rStyle w:val="InternetLink"/>
                  <w:sz w:val="20"/>
                </w:rPr>
                <w:t>Subscription Agreement between TherapeuticsMD, Inc. and Rubric Capital Management LP, dated July 29, 2022 (11)</w:t>
              </w:r>
            </w:hyperlink>
          </w:p>
        </w:tc>
      </w:tr>
      <w:tr>
        <w:trPr/>
        <w:tc>
          <w:tcPr>
            <w:tcW w:w="744" w:type="dxa"/>
            <w:tcBorders/>
            <w:shd w:fill="CCEEFF" w:val="clear"/>
            <w:vAlign w:val="center"/>
          </w:tcPr>
          <w:p>
            <w:pPr>
              <w:pStyle w:val="TableContents"/>
              <w:bidi w:val="0"/>
              <w:spacing w:before="0" w:after="283"/>
              <w:jc w:val="left"/>
              <w:rPr>
                <w:sz w:val="20"/>
              </w:rPr>
            </w:pPr>
            <w:r>
              <w:rPr>
                <w:sz w:val="20"/>
              </w:rPr>
              <w:t>10.24</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41">
              <w:r>
                <w:rPr>
                  <w:rStyle w:val="InternetLink"/>
                  <w:sz w:val="20"/>
                </w:rPr>
                <w:t>Subscription Agreement by and among TherapeuticsMD, Inc., Sixth Street Specialty Lending, Inc., TOP IV Talents, LLC and TOA Talents, LLC, dated July 29, 2022 (11)</w:t>
              </w:r>
            </w:hyperlink>
          </w:p>
        </w:tc>
      </w:tr>
      <w:tr>
        <w:trPr/>
        <w:tc>
          <w:tcPr>
            <w:tcW w:w="744" w:type="dxa"/>
            <w:tcBorders/>
            <w:vAlign w:val="center"/>
          </w:tcPr>
          <w:p>
            <w:pPr>
              <w:pStyle w:val="TableContents"/>
              <w:bidi w:val="0"/>
              <w:spacing w:before="0" w:after="283"/>
              <w:jc w:val="left"/>
              <w:rPr>
                <w:sz w:val="20"/>
              </w:rPr>
            </w:pPr>
            <w:r>
              <w:rPr>
                <w:sz w:val="20"/>
              </w:rPr>
              <w:t>10.25</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42">
              <w:r>
                <w:rPr>
                  <w:rStyle w:val="InternetLink"/>
                  <w:sz w:val="20"/>
                </w:rPr>
                <w:t>Subscription Agreement between TherapeuticsMD, Inc. and Rubric Capital Management LP, dated September 30, 2022 (31)</w:t>
              </w:r>
            </w:hyperlink>
          </w:p>
        </w:tc>
      </w:tr>
      <w:tr>
        <w:trPr/>
        <w:tc>
          <w:tcPr>
            <w:tcW w:w="744" w:type="dxa"/>
            <w:tcBorders/>
            <w:shd w:fill="CCEEFF" w:val="clear"/>
            <w:vAlign w:val="center"/>
          </w:tcPr>
          <w:p>
            <w:pPr>
              <w:pStyle w:val="TableContents"/>
              <w:bidi w:val="0"/>
              <w:spacing w:before="0" w:after="283"/>
              <w:jc w:val="left"/>
              <w:rPr>
                <w:sz w:val="20"/>
              </w:rPr>
            </w:pPr>
            <w:r>
              <w:rPr>
                <w:sz w:val="20"/>
              </w:rPr>
              <w:t>10.26</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43">
              <w:r>
                <w:rPr>
                  <w:rStyle w:val="InternetLink"/>
                  <w:sz w:val="20"/>
                </w:rPr>
                <w:t>Subscription Agreement by and among TherapeuticsMD, Inc., Sixth Street Specialty Lending, Inc., TOP IV Talents, LLC and TAO Talents, LLC, dated September 30, 2022 (31)</w:t>
              </w:r>
            </w:hyperlink>
          </w:p>
        </w:tc>
      </w:tr>
      <w:tr>
        <w:trPr/>
        <w:tc>
          <w:tcPr>
            <w:tcW w:w="744" w:type="dxa"/>
            <w:tcBorders/>
            <w:vAlign w:val="center"/>
          </w:tcPr>
          <w:p>
            <w:pPr>
              <w:pStyle w:val="TableContents"/>
              <w:bidi w:val="0"/>
              <w:spacing w:before="0" w:after="283"/>
              <w:jc w:val="left"/>
              <w:rPr>
                <w:sz w:val="20"/>
              </w:rPr>
            </w:pPr>
            <w:r>
              <w:rPr>
                <w:sz w:val="20"/>
              </w:rPr>
              <w:t>10.27</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44">
              <w:r>
                <w:rPr>
                  <w:rStyle w:val="InternetLink"/>
                  <w:sz w:val="20"/>
                </w:rPr>
                <w:t>Subscription Agreement between TherapeuticsMD, Inc. and Rubric Capital Management LP, dated October 28, 2022 (32)</w:t>
              </w:r>
            </w:hyperlink>
          </w:p>
        </w:tc>
      </w:tr>
      <w:tr>
        <w:trPr/>
        <w:tc>
          <w:tcPr>
            <w:tcW w:w="744" w:type="dxa"/>
            <w:tcBorders/>
            <w:shd w:fill="CCEEFF" w:val="clear"/>
            <w:vAlign w:val="center"/>
          </w:tcPr>
          <w:p>
            <w:pPr>
              <w:pStyle w:val="TableContents"/>
              <w:bidi w:val="0"/>
              <w:spacing w:before="0" w:after="283"/>
              <w:jc w:val="left"/>
              <w:rPr>
                <w:sz w:val="20"/>
              </w:rPr>
            </w:pPr>
            <w:r>
              <w:rPr>
                <w:sz w:val="20"/>
              </w:rPr>
              <w:t>10.28</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45">
              <w:r>
                <w:rPr>
                  <w:rStyle w:val="InternetLink"/>
                  <w:sz w:val="20"/>
                </w:rPr>
                <w:t>Subscription Agreement by and among TherapeuticsMD, Inc., Sixth Street Specialty Lending, Inc., TOP IV Talents, LLC and TAO Talents, LLC, dated October 28, 2022 (32)</w:t>
              </w:r>
            </w:hyperlink>
          </w:p>
        </w:tc>
      </w:tr>
      <w:tr>
        <w:trPr/>
        <w:tc>
          <w:tcPr>
            <w:tcW w:w="744" w:type="dxa"/>
            <w:tcBorders/>
            <w:vAlign w:val="center"/>
          </w:tcPr>
          <w:p>
            <w:pPr>
              <w:pStyle w:val="TableContents"/>
              <w:bidi w:val="0"/>
              <w:spacing w:before="0" w:after="283"/>
              <w:jc w:val="left"/>
              <w:rPr>
                <w:sz w:val="20"/>
              </w:rPr>
            </w:pPr>
            <w:r>
              <w:rPr>
                <w:sz w:val="20"/>
              </w:rPr>
              <w:t>10.29***+</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46">
              <w:r>
                <w:rPr>
                  <w:rStyle w:val="InternetLink"/>
                  <w:sz w:val="20"/>
                </w:rPr>
                <w:t>License Agreement by and between TherapeuticsMD, Inc. and Mayne Pharma LLC, dated December 4, 2022 (33)</w:t>
              </w:r>
            </w:hyperlink>
          </w:p>
        </w:tc>
      </w:tr>
      <w:tr>
        <w:trPr/>
        <w:tc>
          <w:tcPr>
            <w:tcW w:w="744" w:type="dxa"/>
            <w:tcBorders/>
            <w:shd w:fill="CCEEFF" w:val="clear"/>
            <w:vAlign w:val="center"/>
          </w:tcPr>
          <w:p>
            <w:pPr>
              <w:pStyle w:val="TableContents"/>
              <w:bidi w:val="0"/>
              <w:spacing w:before="0" w:after="283"/>
              <w:jc w:val="left"/>
              <w:rPr>
                <w:sz w:val="20"/>
              </w:rPr>
            </w:pPr>
            <w:r>
              <w:rPr>
                <w:sz w:val="20"/>
              </w:rPr>
              <w:t>10.30***+</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47">
              <w:r>
                <w:rPr>
                  <w:rStyle w:val="InternetLink"/>
                  <w:sz w:val="20"/>
                </w:rPr>
                <w:t>Transaction Agreement by and between TherapeuticsMD, Inc. and Mayne Pharma LLC, dated December 4, 2022 (33)</w:t>
              </w:r>
            </w:hyperlink>
          </w:p>
        </w:tc>
      </w:tr>
      <w:tr>
        <w:trPr/>
        <w:tc>
          <w:tcPr>
            <w:tcW w:w="744" w:type="dxa"/>
            <w:tcBorders/>
            <w:vAlign w:val="center"/>
          </w:tcPr>
          <w:p>
            <w:pPr>
              <w:pStyle w:val="TableContents"/>
              <w:bidi w:val="0"/>
              <w:spacing w:before="0" w:after="283"/>
              <w:jc w:val="left"/>
              <w:rPr>
                <w:sz w:val="20"/>
              </w:rPr>
            </w:pPr>
            <w:r>
              <w:rPr>
                <w:sz w:val="20"/>
              </w:rPr>
              <w:t>10.31**</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48">
              <w:r>
                <w:rPr>
                  <w:rStyle w:val="InternetLink"/>
                  <w:sz w:val="20"/>
                </w:rPr>
                <w:t>Amendment No. 1 to the License Agreement between TherapeuticsMD, Inc. and Mayne Pharma LLC, dated as of December 30, 2022 (15)</w:t>
              </w:r>
            </w:hyperlink>
          </w:p>
        </w:tc>
      </w:tr>
      <w:tr>
        <w:trPr/>
        <w:tc>
          <w:tcPr>
            <w:tcW w:w="744" w:type="dxa"/>
            <w:tcBorders/>
            <w:shd w:fill="CCEEFF" w:val="clear"/>
            <w:vAlign w:val="center"/>
          </w:tcPr>
          <w:p>
            <w:pPr>
              <w:pStyle w:val="TableContents"/>
              <w:bidi w:val="0"/>
              <w:spacing w:before="0" w:after="283"/>
              <w:jc w:val="left"/>
              <w:rPr>
                <w:sz w:val="20"/>
              </w:rPr>
            </w:pPr>
            <w:r>
              <w:rPr>
                <w:sz w:val="20"/>
              </w:rPr>
              <w:t>10.32</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49">
              <w:r>
                <w:rPr>
                  <w:rStyle w:val="InternetLink"/>
                  <w:sz w:val="20"/>
                </w:rPr>
                <w:t>Amendment No. 1 to the Transaction Agreement between TherapeuticsMD, Inc. and Mayne Pharma LLC, dated as of December 30, 2022 (15)</w:t>
              </w:r>
            </w:hyperlink>
          </w:p>
        </w:tc>
      </w:tr>
      <w:tr>
        <w:trPr/>
        <w:tc>
          <w:tcPr>
            <w:tcW w:w="744" w:type="dxa"/>
            <w:tcBorders/>
            <w:vAlign w:val="center"/>
          </w:tcPr>
          <w:p>
            <w:pPr>
              <w:pStyle w:val="TableContents"/>
              <w:bidi w:val="0"/>
              <w:spacing w:before="0" w:after="283"/>
              <w:jc w:val="left"/>
              <w:rPr>
                <w:sz w:val="20"/>
              </w:rPr>
            </w:pPr>
            <w:r>
              <w:rPr>
                <w:sz w:val="20"/>
              </w:rPr>
              <w:t>10.33*</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50">
              <w:r>
                <w:rPr>
                  <w:rStyle w:val="InternetLink"/>
                  <w:sz w:val="20"/>
                </w:rPr>
                <w:t>Amended and Restated Employment Agreement, dated as of December 18, 2018, by and between TherapeuticsMD, Inc. and Marlan Walker (15)</w:t>
              </w:r>
            </w:hyperlink>
          </w:p>
        </w:tc>
      </w:tr>
      <w:tr>
        <w:trPr/>
        <w:tc>
          <w:tcPr>
            <w:tcW w:w="744" w:type="dxa"/>
            <w:tcBorders/>
            <w:shd w:fill="CCEEFF" w:val="clear"/>
            <w:vAlign w:val="center"/>
          </w:tcPr>
          <w:p>
            <w:pPr>
              <w:pStyle w:val="TableContents"/>
              <w:bidi w:val="0"/>
              <w:spacing w:before="0" w:after="283"/>
              <w:jc w:val="left"/>
              <w:rPr>
                <w:sz w:val="20"/>
              </w:rPr>
            </w:pPr>
            <w:r>
              <w:rPr>
                <w:sz w:val="20"/>
              </w:rPr>
              <w:t>10.34*</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51">
              <w:r>
                <w:rPr>
                  <w:rStyle w:val="InternetLink"/>
                  <w:sz w:val="20"/>
                </w:rPr>
                <w:t>Amendment, effective October 15, 2021, to the Employment Agreement, dated as of December 18, 2018, by and between TherapeuticsMD, Inc. and Marlan Walker (15)</w:t>
              </w:r>
            </w:hyperlink>
          </w:p>
        </w:tc>
      </w:tr>
      <w:tr>
        <w:trPr/>
        <w:tc>
          <w:tcPr>
            <w:tcW w:w="744" w:type="dxa"/>
            <w:tcBorders/>
            <w:vAlign w:val="center"/>
          </w:tcPr>
          <w:p>
            <w:pPr>
              <w:pStyle w:val="TableContents"/>
              <w:bidi w:val="0"/>
              <w:spacing w:before="0" w:after="283"/>
              <w:jc w:val="left"/>
              <w:rPr>
                <w:sz w:val="20"/>
              </w:rPr>
            </w:pPr>
            <w:r>
              <w:rPr>
                <w:sz w:val="20"/>
              </w:rPr>
              <w:t>10.35*</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52">
              <w:r>
                <w:rPr>
                  <w:rStyle w:val="InternetLink"/>
                  <w:sz w:val="20"/>
                </w:rPr>
                <w:t>Amendment, dated February 21, 2023, to the Employment Agreement, dated as of December 18, 2018, as extended effective October 15, 2021, by and between TherapeuticsMD, Inc. and Marlan Walker (34)</w:t>
              </w:r>
            </w:hyperlink>
          </w:p>
        </w:tc>
      </w:tr>
      <w:tr>
        <w:trPr/>
        <w:tc>
          <w:tcPr>
            <w:tcW w:w="744" w:type="dxa"/>
            <w:tcBorders/>
            <w:shd w:fill="CCEEFF" w:val="clear"/>
            <w:vAlign w:val="center"/>
          </w:tcPr>
          <w:p>
            <w:pPr>
              <w:pStyle w:val="TableContents"/>
              <w:bidi w:val="0"/>
              <w:spacing w:before="0" w:after="283"/>
              <w:jc w:val="left"/>
              <w:rPr>
                <w:sz w:val="20"/>
              </w:rPr>
            </w:pPr>
            <w:r>
              <w:rPr>
                <w:sz w:val="20"/>
              </w:rPr>
              <w:t>10.36*</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53">
              <w:r>
                <w:rPr>
                  <w:rStyle w:val="InternetLink"/>
                  <w:sz w:val="20"/>
                </w:rPr>
                <w:t>Amendment, dated December 17, 2024, to the Employment Agreement, dated as of December 18, 2018, as extended effective February 21, 2023, by and between TherapeuticsMD, Inc. and Marlan Walker (38)</w:t>
              </w:r>
            </w:hyperlink>
          </w:p>
        </w:tc>
      </w:tr>
      <w:tr>
        <w:trPr/>
        <w:tc>
          <w:tcPr>
            <w:tcW w:w="744" w:type="dxa"/>
            <w:tcBorders/>
            <w:vAlign w:val="center"/>
          </w:tcPr>
          <w:p>
            <w:pPr>
              <w:pStyle w:val="TableContents"/>
              <w:bidi w:val="0"/>
              <w:spacing w:before="0" w:after="283"/>
              <w:jc w:val="left"/>
              <w:rPr>
                <w:sz w:val="20"/>
              </w:rPr>
            </w:pPr>
            <w:r>
              <w:rPr>
                <w:sz w:val="20"/>
              </w:rPr>
              <w:t>10.37*</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54">
              <w:r>
                <w:rPr>
                  <w:rStyle w:val="InternetLink"/>
                  <w:sz w:val="20"/>
                </w:rPr>
                <w:t>General Consulting and Services Agreement by and between TherapeuticsMD, Inc. and MCD Consulting Management Services, LLC, dated February 21, 2023 (34)</w:t>
              </w:r>
            </w:hyperlink>
          </w:p>
        </w:tc>
      </w:tr>
      <w:tr>
        <w:trPr/>
        <w:tc>
          <w:tcPr>
            <w:tcW w:w="744" w:type="dxa"/>
            <w:tcBorders/>
            <w:shd w:fill="CCEEFF" w:val="clear"/>
            <w:vAlign w:val="center"/>
          </w:tcPr>
          <w:p>
            <w:pPr>
              <w:pStyle w:val="TableContents"/>
              <w:bidi w:val="0"/>
              <w:spacing w:before="0" w:after="283"/>
              <w:jc w:val="left"/>
              <w:rPr>
                <w:sz w:val="20"/>
              </w:rPr>
            </w:pPr>
            <w:r>
              <w:rPr>
                <w:sz w:val="20"/>
              </w:rPr>
              <w:t>10.38</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r>
              <w:fldChar w:fldCharType="begin"/>
            </w:r>
            <w:r>
              <w:rPr>
                <w:rStyle w:val="InternetLink"/>
                <w:sz w:val="20"/>
              </w:rPr>
              <w:instrText xml:space="preserve"> HYPERLINK "http://www.sec.gov/Archives/edgar/data/25743/000119312523147098/d256418ddef14a.htm" \l "tx256418_63"</w:instrText>
            </w:r>
            <w:r>
              <w:rPr>
                <w:rStyle w:val="InternetLink"/>
                <w:sz w:val="20"/>
              </w:rPr>
              <w:fldChar w:fldCharType="separate"/>
            </w:r>
            <w:r>
              <w:rPr>
                <w:rStyle w:val="InternetLink"/>
                <w:sz w:val="20"/>
              </w:rPr>
              <w:t>Subscription Agreement, dated May 1, 2023, between TherapeuticsMD, Inc. and Rubric Capital Management LP (35)</w:t>
            </w:r>
            <w:r>
              <w:rPr>
                <w:rStyle w:val="InternetLink"/>
                <w:sz w:val="20"/>
              </w:rPr>
              <w:fldChar w:fldCharType="end"/>
            </w:r>
          </w:p>
        </w:tc>
      </w:tr>
      <w:tr>
        <w:trPr/>
        <w:tc>
          <w:tcPr>
            <w:tcW w:w="744" w:type="dxa"/>
            <w:tcBorders/>
            <w:vAlign w:val="center"/>
          </w:tcPr>
          <w:p>
            <w:pPr>
              <w:pStyle w:val="TableContents"/>
              <w:bidi w:val="0"/>
              <w:spacing w:before="0" w:after="283"/>
              <w:jc w:val="left"/>
              <w:rPr>
                <w:sz w:val="20"/>
              </w:rPr>
            </w:pPr>
            <w:r>
              <w:rPr>
                <w:sz w:val="20"/>
              </w:rPr>
              <w:t>10.39*</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55">
              <w:r>
                <w:rPr>
                  <w:rStyle w:val="InternetLink"/>
                  <w:sz w:val="20"/>
                </w:rPr>
                <w:t>Master Services Agreement, dated August 15, 2023, between TherapeuticsMD, Inc. and JZ Advisory Group (36)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8"/>
        <w:gridCol w:w="90"/>
        <w:gridCol w:w="9637"/>
      </w:tblGrid>
      <w:tr>
        <w:trPr/>
        <w:tc>
          <w:tcPr>
            <w:tcW w:w="478" w:type="dxa"/>
            <w:tcBorders/>
            <w:shd w:fill="CCEEFF" w:val="clear"/>
            <w:vAlign w:val="center"/>
          </w:tcPr>
          <w:p>
            <w:pPr>
              <w:pStyle w:val="TableContents"/>
              <w:bidi w:val="0"/>
              <w:spacing w:before="0" w:after="283"/>
              <w:jc w:val="left"/>
              <w:rPr>
                <w:sz w:val="20"/>
              </w:rPr>
            </w:pPr>
            <w:r>
              <w:rPr>
                <w:sz w:val="20"/>
              </w:rPr>
              <w:t>19</w:t>
            </w:r>
          </w:p>
        </w:tc>
        <w:tc>
          <w:tcPr>
            <w:tcW w:w="90" w:type="dxa"/>
            <w:tcBorders/>
            <w:shd w:fill="CCEEFF" w:val="clear"/>
            <w:vAlign w:val="center"/>
          </w:tcPr>
          <w:p>
            <w:pPr>
              <w:pStyle w:val="TableContents"/>
              <w:bidi w:val="0"/>
              <w:spacing w:before="0" w:after="283"/>
              <w:jc w:val="left"/>
              <w:rPr/>
            </w:pPr>
            <w:r>
              <w:rPr/>
              <w:t> </w:t>
            </w:r>
          </w:p>
        </w:tc>
        <w:tc>
          <w:tcPr>
            <w:tcW w:w="9637" w:type="dxa"/>
            <w:tcBorders/>
            <w:shd w:fill="CCEEFF" w:val="clear"/>
            <w:vAlign w:val="center"/>
          </w:tcPr>
          <w:p>
            <w:pPr>
              <w:pStyle w:val="TableContents"/>
              <w:bidi w:val="0"/>
              <w:spacing w:before="0" w:after="283"/>
              <w:jc w:val="left"/>
              <w:rPr/>
            </w:pPr>
            <w:hyperlink r:id="rId56">
              <w:r>
                <w:rPr>
                  <w:rStyle w:val="InternetLink"/>
                  <w:sz w:val="20"/>
                </w:rPr>
                <w:t>Insider Trading Policy (38)</w:t>
              </w:r>
            </w:hyperlink>
          </w:p>
        </w:tc>
      </w:tr>
      <w:tr>
        <w:trPr/>
        <w:tc>
          <w:tcPr>
            <w:tcW w:w="478" w:type="dxa"/>
            <w:tcBorders/>
            <w:vAlign w:val="center"/>
          </w:tcPr>
          <w:p>
            <w:pPr>
              <w:pStyle w:val="TableContents"/>
              <w:bidi w:val="0"/>
              <w:spacing w:before="0" w:after="283"/>
              <w:jc w:val="left"/>
              <w:rPr>
                <w:sz w:val="20"/>
              </w:rPr>
            </w:pPr>
            <w:r>
              <w:rPr>
                <w:sz w:val="20"/>
              </w:rPr>
              <w:t>21.1</w:t>
            </w:r>
          </w:p>
        </w:tc>
        <w:tc>
          <w:tcPr>
            <w:tcW w:w="90" w:type="dxa"/>
            <w:tcBorders/>
            <w:vAlign w:val="center"/>
          </w:tcPr>
          <w:p>
            <w:pPr>
              <w:pStyle w:val="TableContents"/>
              <w:bidi w:val="0"/>
              <w:spacing w:before="0" w:after="283"/>
              <w:jc w:val="left"/>
              <w:rPr/>
            </w:pPr>
            <w:r>
              <w:rPr/>
              <w:t> </w:t>
            </w:r>
          </w:p>
        </w:tc>
        <w:tc>
          <w:tcPr>
            <w:tcW w:w="9637" w:type="dxa"/>
            <w:tcBorders/>
            <w:vAlign w:val="center"/>
          </w:tcPr>
          <w:p>
            <w:pPr>
              <w:pStyle w:val="TableContents"/>
              <w:bidi w:val="0"/>
              <w:spacing w:before="0" w:after="283"/>
              <w:jc w:val="left"/>
              <w:rPr/>
            </w:pPr>
            <w:hyperlink r:id="rId57">
              <w:r>
                <w:rPr>
                  <w:rStyle w:val="InternetLink"/>
                  <w:sz w:val="20"/>
                </w:rPr>
                <w:t>Subsidiaries of the Company (38)</w:t>
              </w:r>
            </w:hyperlink>
          </w:p>
        </w:tc>
      </w:tr>
      <w:tr>
        <w:trPr/>
        <w:tc>
          <w:tcPr>
            <w:tcW w:w="478" w:type="dxa"/>
            <w:tcBorders/>
            <w:shd w:fill="CCEEFF" w:val="clear"/>
            <w:vAlign w:val="center"/>
          </w:tcPr>
          <w:p>
            <w:pPr>
              <w:pStyle w:val="TableContents"/>
              <w:bidi w:val="0"/>
              <w:spacing w:before="0" w:after="283"/>
              <w:jc w:val="left"/>
              <w:rPr>
                <w:sz w:val="20"/>
              </w:rPr>
            </w:pPr>
            <w:r>
              <w:rPr>
                <w:sz w:val="20"/>
              </w:rPr>
              <w:t>23.1</w:t>
            </w:r>
          </w:p>
        </w:tc>
        <w:tc>
          <w:tcPr>
            <w:tcW w:w="90" w:type="dxa"/>
            <w:tcBorders/>
            <w:shd w:fill="CCEEFF" w:val="clear"/>
            <w:vAlign w:val="center"/>
          </w:tcPr>
          <w:p>
            <w:pPr>
              <w:pStyle w:val="TableContents"/>
              <w:bidi w:val="0"/>
              <w:spacing w:before="0" w:after="283"/>
              <w:jc w:val="left"/>
              <w:rPr/>
            </w:pPr>
            <w:r>
              <w:rPr/>
              <w:t> </w:t>
            </w:r>
          </w:p>
        </w:tc>
        <w:tc>
          <w:tcPr>
            <w:tcW w:w="9637" w:type="dxa"/>
            <w:tcBorders/>
            <w:shd w:fill="CCEEFF" w:val="clear"/>
            <w:vAlign w:val="center"/>
          </w:tcPr>
          <w:p>
            <w:pPr>
              <w:pStyle w:val="TableContents"/>
              <w:bidi w:val="0"/>
              <w:spacing w:before="0" w:after="283"/>
              <w:jc w:val="left"/>
              <w:rPr/>
            </w:pPr>
            <w:hyperlink r:id="rId58">
              <w:r>
                <w:rPr>
                  <w:rStyle w:val="InternetLink"/>
                  <w:sz w:val="20"/>
                </w:rPr>
                <w:t>Consent of Berkowitz Pollack Brant (38)</w:t>
              </w:r>
            </w:hyperlink>
          </w:p>
        </w:tc>
      </w:tr>
      <w:tr>
        <w:trPr/>
        <w:tc>
          <w:tcPr>
            <w:tcW w:w="478" w:type="dxa"/>
            <w:tcBorders/>
            <w:vAlign w:val="center"/>
          </w:tcPr>
          <w:p>
            <w:pPr>
              <w:pStyle w:val="TableContents"/>
              <w:bidi w:val="0"/>
              <w:spacing w:before="0" w:after="283"/>
              <w:jc w:val="left"/>
              <w:rPr>
                <w:sz w:val="20"/>
              </w:rPr>
            </w:pPr>
            <w:r>
              <w:rPr>
                <w:sz w:val="20"/>
              </w:rPr>
              <w:t>31.1†</w:t>
            </w:r>
          </w:p>
        </w:tc>
        <w:tc>
          <w:tcPr>
            <w:tcW w:w="90" w:type="dxa"/>
            <w:tcBorders/>
            <w:vAlign w:val="center"/>
          </w:tcPr>
          <w:p>
            <w:pPr>
              <w:pStyle w:val="TableContents"/>
              <w:bidi w:val="0"/>
              <w:spacing w:before="0" w:after="283"/>
              <w:jc w:val="left"/>
              <w:rPr/>
            </w:pPr>
            <w:r>
              <w:rPr/>
              <w:t> </w:t>
            </w:r>
          </w:p>
        </w:tc>
        <w:tc>
          <w:tcPr>
            <w:tcW w:w="9637" w:type="dxa"/>
            <w:tcBorders/>
            <w:vAlign w:val="center"/>
          </w:tcPr>
          <w:p>
            <w:pPr>
              <w:pStyle w:val="TableContents"/>
              <w:bidi w:val="0"/>
              <w:spacing w:before="0" w:after="283"/>
              <w:jc w:val="left"/>
              <w:rPr/>
            </w:pPr>
            <w:hyperlink w:anchor="ea023959601ex31-1_therape.htm">
              <w:r>
                <w:rPr>
                  <w:rStyle w:val="InternetLink"/>
                  <w:sz w:val="20"/>
                </w:rPr>
                <w:t>Certification of Chief Executive Officer pursuant to Rule 13a-14(a) and Rule 15d-14(a)</w:t>
              </w:r>
            </w:hyperlink>
          </w:p>
        </w:tc>
      </w:tr>
      <w:tr>
        <w:trPr/>
        <w:tc>
          <w:tcPr>
            <w:tcW w:w="478" w:type="dxa"/>
            <w:tcBorders/>
            <w:shd w:fill="CCEEFF" w:val="clear"/>
            <w:vAlign w:val="center"/>
          </w:tcPr>
          <w:p>
            <w:pPr>
              <w:pStyle w:val="TableContents"/>
              <w:bidi w:val="0"/>
              <w:spacing w:before="0" w:after="283"/>
              <w:jc w:val="left"/>
              <w:rPr>
                <w:sz w:val="20"/>
              </w:rPr>
            </w:pPr>
            <w:r>
              <w:rPr>
                <w:sz w:val="20"/>
              </w:rPr>
              <w:t>31.2†</w:t>
            </w:r>
          </w:p>
        </w:tc>
        <w:tc>
          <w:tcPr>
            <w:tcW w:w="90" w:type="dxa"/>
            <w:tcBorders/>
            <w:shd w:fill="CCEEFF" w:val="clear"/>
            <w:vAlign w:val="center"/>
          </w:tcPr>
          <w:p>
            <w:pPr>
              <w:pStyle w:val="TableContents"/>
              <w:bidi w:val="0"/>
              <w:spacing w:before="0" w:after="283"/>
              <w:jc w:val="left"/>
              <w:rPr/>
            </w:pPr>
            <w:r>
              <w:rPr/>
              <w:t> </w:t>
            </w:r>
          </w:p>
        </w:tc>
        <w:tc>
          <w:tcPr>
            <w:tcW w:w="9637" w:type="dxa"/>
            <w:tcBorders/>
            <w:shd w:fill="CCEEFF" w:val="clear"/>
            <w:vAlign w:val="center"/>
          </w:tcPr>
          <w:p>
            <w:pPr>
              <w:pStyle w:val="TableContents"/>
              <w:bidi w:val="0"/>
              <w:spacing w:before="0" w:after="283"/>
              <w:jc w:val="left"/>
              <w:rPr/>
            </w:pPr>
            <w:hyperlink w:anchor="ea023959601ex31-2_therape.htm">
              <w:r>
                <w:rPr>
                  <w:rStyle w:val="InternetLink"/>
                  <w:sz w:val="20"/>
                </w:rPr>
                <w:t>Certification of Chief Financial Officer pursuant to Rule 13a-14(a) and Rule 15d-14(a)</w:t>
              </w:r>
            </w:hyperlink>
          </w:p>
        </w:tc>
      </w:tr>
      <w:tr>
        <w:trPr/>
        <w:tc>
          <w:tcPr>
            <w:tcW w:w="478" w:type="dxa"/>
            <w:tcBorders/>
            <w:vAlign w:val="center"/>
          </w:tcPr>
          <w:p>
            <w:pPr>
              <w:pStyle w:val="TableContents"/>
              <w:bidi w:val="0"/>
              <w:spacing w:before="0" w:after="283"/>
              <w:jc w:val="left"/>
              <w:rPr>
                <w:sz w:val="20"/>
              </w:rPr>
            </w:pPr>
            <w:r>
              <w:rPr>
                <w:sz w:val="20"/>
              </w:rPr>
              <w:t>32.1</w:t>
            </w:r>
          </w:p>
        </w:tc>
        <w:tc>
          <w:tcPr>
            <w:tcW w:w="90" w:type="dxa"/>
            <w:tcBorders/>
            <w:vAlign w:val="center"/>
          </w:tcPr>
          <w:p>
            <w:pPr>
              <w:pStyle w:val="TableContents"/>
              <w:bidi w:val="0"/>
              <w:spacing w:before="0" w:after="283"/>
              <w:jc w:val="left"/>
              <w:rPr/>
            </w:pPr>
            <w:r>
              <w:rPr/>
              <w:t> </w:t>
            </w:r>
          </w:p>
        </w:tc>
        <w:tc>
          <w:tcPr>
            <w:tcW w:w="9637" w:type="dxa"/>
            <w:tcBorders/>
            <w:vAlign w:val="center"/>
          </w:tcPr>
          <w:p>
            <w:pPr>
              <w:pStyle w:val="TableContents"/>
              <w:bidi w:val="0"/>
              <w:spacing w:before="0" w:after="283"/>
              <w:jc w:val="left"/>
              <w:rPr/>
            </w:pPr>
            <w:hyperlink r:id="rId59">
              <w:r>
                <w:rPr>
                  <w:rStyle w:val="InternetLink"/>
                  <w:sz w:val="20"/>
                </w:rPr>
                <w:t>Section 1350 Certification of Chief Executive Officer (38)</w:t>
              </w:r>
            </w:hyperlink>
          </w:p>
        </w:tc>
      </w:tr>
      <w:tr>
        <w:trPr/>
        <w:tc>
          <w:tcPr>
            <w:tcW w:w="478" w:type="dxa"/>
            <w:tcBorders/>
            <w:shd w:fill="CCEEFF" w:val="clear"/>
            <w:vAlign w:val="center"/>
          </w:tcPr>
          <w:p>
            <w:pPr>
              <w:pStyle w:val="TableContents"/>
              <w:bidi w:val="0"/>
              <w:spacing w:before="0" w:after="283"/>
              <w:jc w:val="left"/>
              <w:rPr>
                <w:sz w:val="20"/>
              </w:rPr>
            </w:pPr>
            <w:r>
              <w:rPr>
                <w:sz w:val="20"/>
              </w:rPr>
              <w:t>32.2</w:t>
            </w:r>
          </w:p>
        </w:tc>
        <w:tc>
          <w:tcPr>
            <w:tcW w:w="90" w:type="dxa"/>
            <w:tcBorders/>
            <w:shd w:fill="CCEEFF" w:val="clear"/>
            <w:vAlign w:val="center"/>
          </w:tcPr>
          <w:p>
            <w:pPr>
              <w:pStyle w:val="TableContents"/>
              <w:bidi w:val="0"/>
              <w:spacing w:before="0" w:after="283"/>
              <w:jc w:val="left"/>
              <w:rPr/>
            </w:pPr>
            <w:r>
              <w:rPr/>
              <w:t> </w:t>
            </w:r>
          </w:p>
        </w:tc>
        <w:tc>
          <w:tcPr>
            <w:tcW w:w="9637" w:type="dxa"/>
            <w:tcBorders/>
            <w:shd w:fill="CCEEFF" w:val="clear"/>
            <w:vAlign w:val="center"/>
          </w:tcPr>
          <w:p>
            <w:pPr>
              <w:pStyle w:val="TableContents"/>
              <w:bidi w:val="0"/>
              <w:spacing w:before="0" w:after="283"/>
              <w:jc w:val="left"/>
              <w:rPr/>
            </w:pPr>
            <w:hyperlink r:id="rId60">
              <w:r>
                <w:rPr>
                  <w:rStyle w:val="InternetLink"/>
                  <w:sz w:val="20"/>
                </w:rPr>
                <w:t>Section 1350 Certification of Chief Financial Officer (38)</w:t>
              </w:r>
            </w:hyperlink>
          </w:p>
        </w:tc>
      </w:tr>
      <w:tr>
        <w:trPr/>
        <w:tc>
          <w:tcPr>
            <w:tcW w:w="478" w:type="dxa"/>
            <w:tcBorders/>
            <w:vAlign w:val="center"/>
          </w:tcPr>
          <w:p>
            <w:pPr>
              <w:pStyle w:val="TableContents"/>
              <w:bidi w:val="0"/>
              <w:spacing w:before="0" w:after="283"/>
              <w:jc w:val="left"/>
              <w:rPr>
                <w:sz w:val="20"/>
              </w:rPr>
            </w:pPr>
            <w:r>
              <w:rPr>
                <w:sz w:val="20"/>
              </w:rPr>
              <w:t>97.1</w:t>
            </w:r>
          </w:p>
        </w:tc>
        <w:tc>
          <w:tcPr>
            <w:tcW w:w="90" w:type="dxa"/>
            <w:tcBorders/>
            <w:vAlign w:val="center"/>
          </w:tcPr>
          <w:p>
            <w:pPr>
              <w:pStyle w:val="TableContents"/>
              <w:bidi w:val="0"/>
              <w:spacing w:before="0" w:after="283"/>
              <w:jc w:val="left"/>
              <w:rPr/>
            </w:pPr>
            <w:r>
              <w:rPr/>
              <w:t> </w:t>
            </w:r>
          </w:p>
        </w:tc>
        <w:tc>
          <w:tcPr>
            <w:tcW w:w="9637" w:type="dxa"/>
            <w:tcBorders/>
            <w:vAlign w:val="center"/>
          </w:tcPr>
          <w:p>
            <w:pPr>
              <w:pStyle w:val="TableContents"/>
              <w:bidi w:val="0"/>
              <w:spacing w:before="0" w:after="283"/>
              <w:jc w:val="left"/>
              <w:rPr/>
            </w:pPr>
            <w:hyperlink r:id="rId61">
              <w:r>
                <w:rPr>
                  <w:rStyle w:val="InternetLink"/>
                  <w:sz w:val="20"/>
                </w:rPr>
                <w:t>TherapeuticsMD, Inc. Policy on Recoupment of Incentive Compensation (37)</w:t>
              </w:r>
            </w:hyperlink>
          </w:p>
        </w:tc>
      </w:tr>
      <w:tr>
        <w:trPr/>
        <w:tc>
          <w:tcPr>
            <w:tcW w:w="478" w:type="dxa"/>
            <w:tcBorders/>
            <w:shd w:fill="CCEEFF" w:val="clear"/>
            <w:vAlign w:val="center"/>
          </w:tcPr>
          <w:p>
            <w:pPr>
              <w:pStyle w:val="TableContents"/>
              <w:bidi w:val="0"/>
              <w:spacing w:before="0" w:after="283"/>
              <w:jc w:val="left"/>
              <w:rPr>
                <w:sz w:val="20"/>
              </w:rPr>
            </w:pPr>
            <w:r>
              <w:rPr>
                <w:sz w:val="20"/>
              </w:rPr>
              <w:t>101</w:t>
            </w:r>
          </w:p>
        </w:tc>
        <w:tc>
          <w:tcPr>
            <w:tcW w:w="90" w:type="dxa"/>
            <w:tcBorders/>
            <w:shd w:fill="CCEEFF" w:val="clear"/>
            <w:vAlign w:val="center"/>
          </w:tcPr>
          <w:p>
            <w:pPr>
              <w:pStyle w:val="TableContents"/>
              <w:bidi w:val="0"/>
              <w:spacing w:before="0" w:after="283"/>
              <w:jc w:val="left"/>
              <w:rPr/>
            </w:pPr>
            <w:r>
              <w:rPr/>
              <w:t> </w:t>
            </w:r>
          </w:p>
        </w:tc>
        <w:tc>
          <w:tcPr>
            <w:tcW w:w="9637" w:type="dxa"/>
            <w:tcBorders/>
            <w:shd w:fill="CCEEFF" w:val="clear"/>
            <w:vAlign w:val="center"/>
          </w:tcPr>
          <w:p>
            <w:pPr>
              <w:pStyle w:val="TableContents"/>
              <w:bidi w:val="0"/>
              <w:spacing w:before="0" w:after="283"/>
              <w:jc w:val="left"/>
              <w:rPr>
                <w:sz w:val="20"/>
              </w:rPr>
            </w:pPr>
            <w:r>
              <w:rPr>
                <w:sz w:val="20"/>
              </w:rPr>
              <w:t>Inline XBRL Document Set for the consolidated financial statements and accompanying notes in Part IV, Item 15(a), “Financial Statements and Financial Statements Schedules” of this Annual Report on Form 10-K</w:t>
            </w:r>
          </w:p>
        </w:tc>
      </w:tr>
      <w:tr>
        <w:trPr/>
        <w:tc>
          <w:tcPr>
            <w:tcW w:w="478" w:type="dxa"/>
            <w:tcBorders/>
            <w:vAlign w:val="center"/>
          </w:tcPr>
          <w:p>
            <w:pPr>
              <w:pStyle w:val="TableContents"/>
              <w:bidi w:val="0"/>
              <w:spacing w:before="0" w:after="283"/>
              <w:jc w:val="left"/>
              <w:rPr>
                <w:sz w:val="20"/>
              </w:rPr>
            </w:pPr>
            <w:r>
              <w:rPr>
                <w:sz w:val="20"/>
              </w:rPr>
              <w:t>104†</w:t>
            </w:r>
          </w:p>
        </w:tc>
        <w:tc>
          <w:tcPr>
            <w:tcW w:w="90" w:type="dxa"/>
            <w:tcBorders/>
            <w:vAlign w:val="center"/>
          </w:tcPr>
          <w:p>
            <w:pPr>
              <w:pStyle w:val="TableContents"/>
              <w:bidi w:val="0"/>
              <w:spacing w:before="0" w:after="283"/>
              <w:jc w:val="left"/>
              <w:rPr/>
            </w:pPr>
            <w:r>
              <w:rPr/>
              <w:t> </w:t>
            </w:r>
          </w:p>
        </w:tc>
        <w:tc>
          <w:tcPr>
            <w:tcW w:w="9637" w:type="dxa"/>
            <w:tcBorders/>
            <w:vAlign w:val="center"/>
          </w:tcPr>
          <w:p>
            <w:pPr>
              <w:pStyle w:val="TableContents"/>
              <w:bidi w:val="0"/>
              <w:spacing w:before="0" w:after="283"/>
              <w:jc w:val="left"/>
              <w:rPr>
                <w:sz w:val="20"/>
              </w:rPr>
            </w:pPr>
            <w:r>
              <w:rPr>
                <w:sz w:val="20"/>
              </w:rPr>
              <w:t>Inline XBRL for the cover page of this Annual Report on Form 10-K, included in the Exhibit 101 Inline XBRL Document Set</w:t>
            </w:r>
          </w:p>
        </w:tc>
      </w:tr>
    </w:tbl>
    <w:p>
      <w:pPr>
        <w:pStyle w:val="TextBody"/>
        <w:bidi w:val="0"/>
        <w:spacing w:before="0" w:after="0"/>
        <w:ind w:left="0" w:right="0" w:hanging="0"/>
        <w:jc w:val="center"/>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170"/>
        <w:gridCol w:w="6260"/>
      </w:tblGrid>
      <w:tr>
        <w:trPr/>
        <w:tc>
          <w:tcPr>
            <w:tcW w:w="170" w:type="dxa"/>
            <w:tcBorders/>
            <w:vAlign w:val="center"/>
          </w:tcPr>
          <w:p>
            <w:pPr>
              <w:pStyle w:val="TableContents"/>
              <w:bidi w:val="0"/>
              <w:spacing w:before="0" w:after="283"/>
              <w:jc w:val="left"/>
              <w:rPr>
                <w:sz w:val="20"/>
              </w:rPr>
            </w:pPr>
            <w:r>
              <w:rPr>
                <w:sz w:val="20"/>
              </w:rPr>
              <w:t>*</w:t>
            </w:r>
          </w:p>
        </w:tc>
        <w:tc>
          <w:tcPr>
            <w:tcW w:w="6260" w:type="dxa"/>
            <w:tcBorders/>
            <w:vAlign w:val="center"/>
          </w:tcPr>
          <w:p>
            <w:pPr>
              <w:pStyle w:val="TableContents"/>
              <w:bidi w:val="0"/>
              <w:spacing w:before="0" w:after="283"/>
              <w:jc w:val="left"/>
              <w:rPr>
                <w:sz w:val="20"/>
              </w:rPr>
            </w:pPr>
            <w:r>
              <w:rPr>
                <w:sz w:val="20"/>
              </w:rPr>
              <w:t>Indicates a contract with management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sz w:val="20"/>
              </w:rPr>
            </w:pPr>
            <w:r>
              <w:rPr>
                <w:sz w:val="20"/>
              </w:rPr>
              <w:t>**</w:t>
            </w:r>
          </w:p>
        </w:tc>
        <w:tc>
          <w:tcPr>
            <w:tcW w:w="9981" w:type="dxa"/>
            <w:tcBorders/>
            <w:vAlign w:val="center"/>
          </w:tcPr>
          <w:p>
            <w:pPr>
              <w:pStyle w:val="TableContents"/>
              <w:bidi w:val="0"/>
              <w:spacing w:before="0" w:after="283"/>
              <w:jc w:val="left"/>
              <w:rPr>
                <w:sz w:val="20"/>
              </w:rPr>
            </w:pPr>
            <w:r>
              <w:rPr>
                <w:sz w:val="20"/>
              </w:rPr>
              <w:t>Certain confidential material contained in the document has been omitted and filed separately with the Securities and Exchange Commission. Confidential treatment has been granted with respect to this omitted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sz w:val="20"/>
              </w:rPr>
            </w:pPr>
            <w:r>
              <w:rPr>
                <w:sz w:val="20"/>
              </w:rPr>
              <w:t>***</w:t>
            </w:r>
          </w:p>
        </w:tc>
        <w:tc>
          <w:tcPr>
            <w:tcW w:w="9922" w:type="dxa"/>
            <w:tcBorders/>
            <w:vAlign w:val="center"/>
          </w:tcPr>
          <w:p>
            <w:pPr>
              <w:pStyle w:val="TableContents"/>
              <w:bidi w:val="0"/>
              <w:spacing w:before="0" w:after="283"/>
              <w:jc w:val="left"/>
              <w:rPr>
                <w:sz w:val="20"/>
              </w:rPr>
            </w:pPr>
            <w:r>
              <w:rPr>
                <w:sz w:val="20"/>
              </w:rPr>
              <w:t>Portions of this exhibit have been redacted in compliance with Regulation S-K Item 601(b)(2). The omitted information is not material and would likely cause competitive harm to the Company if publicly disclosed.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sz w:val="20"/>
              </w:rPr>
              <w:t>+</w:t>
            </w:r>
          </w:p>
        </w:tc>
        <w:tc>
          <w:tcPr>
            <w:tcW w:w="10035" w:type="dxa"/>
            <w:tcBorders/>
            <w:vAlign w:val="center"/>
          </w:tcPr>
          <w:p>
            <w:pPr>
              <w:pStyle w:val="TableContents"/>
              <w:bidi w:val="0"/>
              <w:spacing w:before="0" w:after="283"/>
              <w:jc w:val="left"/>
              <w:rPr>
                <w:sz w:val="20"/>
              </w:rPr>
            </w:pPr>
            <w:r>
              <w:rPr>
                <w:sz w:val="20"/>
              </w:rPr>
              <w:t>Certain of the exhibits and schedules to this exhibit have been omitted in accordance with Item 601(a)(5) of Regulation S-K. The Company agrees to furnish a copy of all omitted exhibits and schedules to the SEC upon its request.</w:t>
            </w:r>
          </w:p>
        </w:tc>
      </w:tr>
    </w:tbl>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185"/>
        <w:gridCol w:w="1310"/>
      </w:tblGrid>
      <w:tr>
        <w:trPr/>
        <w:tc>
          <w:tcPr>
            <w:tcW w:w="185"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left"/>
              <w:rPr>
                <w:sz w:val="20"/>
              </w:rPr>
            </w:pPr>
            <w:r>
              <w:rPr>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305"/>
        <w:gridCol w:w="1700"/>
      </w:tblGrid>
      <w:tr>
        <w:trPr/>
        <w:tc>
          <w:tcPr>
            <w:tcW w:w="305"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left"/>
              <w:rPr>
                <w:sz w:val="20"/>
              </w:rPr>
            </w:pPr>
            <w:r>
              <w:rPr>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sz w:val="20"/>
              </w:rPr>
            </w:pPr>
            <w:r>
              <w:rPr>
                <w:sz w:val="20"/>
              </w:rPr>
              <w:t>(1)</w:t>
            </w:r>
          </w:p>
        </w:tc>
        <w:tc>
          <w:tcPr>
            <w:tcW w:w="9924" w:type="dxa"/>
            <w:tcBorders/>
            <w:vAlign w:val="center"/>
          </w:tcPr>
          <w:p>
            <w:pPr>
              <w:pStyle w:val="TableContents"/>
              <w:bidi w:val="0"/>
              <w:spacing w:before="0" w:after="283"/>
              <w:jc w:val="left"/>
              <w:rPr>
                <w:sz w:val="20"/>
              </w:rPr>
            </w:pPr>
            <w:r>
              <w:rPr>
                <w:sz w:val="20"/>
              </w:rPr>
              <w:t>Filed as an exhibit to Form 8-K filed with the Commission on July 10, 2009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sz w:val="20"/>
              </w:rPr>
            </w:pPr>
            <w:r>
              <w:rPr>
                <w:sz w:val="20"/>
              </w:rPr>
              <w:t>(2)</w:t>
            </w:r>
          </w:p>
        </w:tc>
        <w:tc>
          <w:tcPr>
            <w:tcW w:w="9924" w:type="dxa"/>
            <w:tcBorders/>
            <w:vAlign w:val="center"/>
          </w:tcPr>
          <w:p>
            <w:pPr>
              <w:pStyle w:val="TableContents"/>
              <w:bidi w:val="0"/>
              <w:spacing w:before="0" w:after="283"/>
              <w:jc w:val="left"/>
              <w:rPr>
                <w:sz w:val="20"/>
              </w:rPr>
            </w:pPr>
            <w:r>
              <w:rPr>
                <w:sz w:val="20"/>
              </w:rPr>
              <w:t>Filed as an exhibit to Form 8-K filed with the Commission on June 14, 2010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sz w:val="20"/>
              </w:rPr>
            </w:pPr>
            <w:r>
              <w:rPr>
                <w:sz w:val="20"/>
              </w:rPr>
              <w:t>(3)</w:t>
            </w:r>
          </w:p>
        </w:tc>
        <w:tc>
          <w:tcPr>
            <w:tcW w:w="9936" w:type="dxa"/>
            <w:tcBorders/>
            <w:vAlign w:val="center"/>
          </w:tcPr>
          <w:p>
            <w:pPr>
              <w:pStyle w:val="TableContents"/>
              <w:bidi w:val="0"/>
              <w:spacing w:before="0" w:after="283"/>
              <w:jc w:val="left"/>
              <w:rPr>
                <w:sz w:val="20"/>
              </w:rPr>
            </w:pPr>
            <w:r>
              <w:rPr>
                <w:sz w:val="20"/>
              </w:rPr>
              <w:t>Filed as an exhibit to Form 10-K for the year ended December 31, 2007 filed with the Commission on May 1, 2008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sz w:val="20"/>
              </w:rPr>
            </w:pPr>
            <w:r>
              <w:rPr>
                <w:sz w:val="20"/>
              </w:rPr>
              <w:t>(4)</w:t>
            </w:r>
          </w:p>
        </w:tc>
        <w:tc>
          <w:tcPr>
            <w:tcW w:w="9924" w:type="dxa"/>
            <w:tcBorders/>
            <w:vAlign w:val="center"/>
          </w:tcPr>
          <w:p>
            <w:pPr>
              <w:pStyle w:val="TableContents"/>
              <w:bidi w:val="0"/>
              <w:spacing w:before="0" w:after="283"/>
              <w:jc w:val="left"/>
              <w:rPr>
                <w:sz w:val="20"/>
              </w:rPr>
            </w:pPr>
            <w:r>
              <w:rPr>
                <w:sz w:val="20"/>
              </w:rPr>
              <w:t>Filed as an exhibit to Form 8-K filed with the Commission on July 21, 2011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sz w:val="20"/>
              </w:rPr>
            </w:pPr>
            <w:r>
              <w:rPr>
                <w:sz w:val="20"/>
              </w:rPr>
              <w:t>(5)</w:t>
            </w:r>
          </w:p>
        </w:tc>
        <w:tc>
          <w:tcPr>
            <w:tcW w:w="9925" w:type="dxa"/>
            <w:tcBorders/>
            <w:vAlign w:val="center"/>
          </w:tcPr>
          <w:p>
            <w:pPr>
              <w:pStyle w:val="TableContents"/>
              <w:bidi w:val="0"/>
              <w:spacing w:before="0" w:after="283"/>
              <w:jc w:val="left"/>
              <w:rPr>
                <w:sz w:val="20"/>
              </w:rPr>
            </w:pPr>
            <w:r>
              <w:rPr>
                <w:sz w:val="20"/>
              </w:rPr>
              <w:t>Filed as an exhibit to Form 8-K filed with the Commission on March 10, 2022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sz w:val="20"/>
              </w:rPr>
            </w:pPr>
            <w:r>
              <w:rPr>
                <w:sz w:val="20"/>
              </w:rPr>
              <w:t>(6)</w:t>
            </w:r>
          </w:p>
        </w:tc>
        <w:tc>
          <w:tcPr>
            <w:tcW w:w="9936" w:type="dxa"/>
            <w:tcBorders/>
            <w:vAlign w:val="center"/>
          </w:tcPr>
          <w:p>
            <w:pPr>
              <w:pStyle w:val="TableContents"/>
              <w:bidi w:val="0"/>
              <w:spacing w:before="0" w:after="283"/>
              <w:jc w:val="left"/>
              <w:rPr>
                <w:sz w:val="20"/>
              </w:rPr>
            </w:pPr>
            <w:r>
              <w:rPr>
                <w:sz w:val="20"/>
              </w:rPr>
              <w:t>Filed as an exhibit to Form 10-Q for the quarter ended June 30, 2010 filed with the Commission on August 3, 2010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sz w:val="20"/>
              </w:rPr>
            </w:pPr>
            <w:r>
              <w:rPr>
                <w:sz w:val="20"/>
              </w:rPr>
              <w:t>(7)</w:t>
            </w:r>
          </w:p>
        </w:tc>
        <w:tc>
          <w:tcPr>
            <w:tcW w:w="9937" w:type="dxa"/>
            <w:tcBorders/>
            <w:vAlign w:val="center"/>
          </w:tcPr>
          <w:p>
            <w:pPr>
              <w:pStyle w:val="TableContents"/>
              <w:bidi w:val="0"/>
              <w:spacing w:before="0" w:after="283"/>
              <w:jc w:val="left"/>
              <w:rPr>
                <w:sz w:val="20"/>
              </w:rPr>
            </w:pPr>
            <w:r>
              <w:rPr>
                <w:sz w:val="20"/>
              </w:rPr>
              <w:t>Filed as an exhibit to Form 10-Q for the quarter ended June 30, 2023 filed with the Commission on August 14, 2023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sz w:val="20"/>
              </w:rPr>
            </w:pPr>
            <w:r>
              <w:rPr>
                <w:sz w:val="20"/>
              </w:rPr>
              <w:t>(8)</w:t>
            </w:r>
          </w:p>
        </w:tc>
        <w:tc>
          <w:tcPr>
            <w:tcW w:w="9934" w:type="dxa"/>
            <w:tcBorders/>
            <w:vAlign w:val="center"/>
          </w:tcPr>
          <w:p>
            <w:pPr>
              <w:pStyle w:val="TableContents"/>
              <w:bidi w:val="0"/>
              <w:spacing w:before="0" w:after="283"/>
              <w:jc w:val="left"/>
              <w:rPr>
                <w:sz w:val="20"/>
              </w:rPr>
            </w:pPr>
            <w:r>
              <w:rPr>
                <w:sz w:val="20"/>
              </w:rPr>
              <w:t>Filed as an exhibit to Definitive 14C Information Statement filed with the Commission on June 29, 2010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sz w:val="20"/>
              </w:rPr>
            </w:pPr>
            <w:r>
              <w:rPr>
                <w:sz w:val="20"/>
              </w:rPr>
              <w:t>(9)</w:t>
            </w:r>
          </w:p>
        </w:tc>
        <w:tc>
          <w:tcPr>
            <w:tcW w:w="9926" w:type="dxa"/>
            <w:tcBorders/>
            <w:vAlign w:val="center"/>
          </w:tcPr>
          <w:p>
            <w:pPr>
              <w:pStyle w:val="TableContents"/>
              <w:bidi w:val="0"/>
              <w:spacing w:before="0" w:after="283"/>
              <w:jc w:val="left"/>
              <w:rPr>
                <w:sz w:val="20"/>
              </w:rPr>
            </w:pPr>
            <w:r>
              <w:rPr>
                <w:sz w:val="20"/>
              </w:rPr>
              <w:t>Filed as an exhibit to Form 8-K filed with the Commission on December 22, 2015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sz w:val="20"/>
              </w:rPr>
            </w:pPr>
            <w:r>
              <w:rPr>
                <w:sz w:val="20"/>
              </w:rPr>
              <w:t>(10)</w:t>
            </w:r>
          </w:p>
        </w:tc>
        <w:tc>
          <w:tcPr>
            <w:tcW w:w="9820" w:type="dxa"/>
            <w:tcBorders/>
            <w:vAlign w:val="center"/>
          </w:tcPr>
          <w:p>
            <w:pPr>
              <w:pStyle w:val="TableContents"/>
              <w:bidi w:val="0"/>
              <w:spacing w:before="0" w:after="283"/>
              <w:jc w:val="left"/>
              <w:rPr>
                <w:sz w:val="20"/>
              </w:rPr>
            </w:pPr>
            <w:r>
              <w:rPr>
                <w:sz w:val="20"/>
              </w:rPr>
              <w:t>Filed as an exhibit to Form 8-K filed with the Commission on June 3, 2022 and incorporated herein by reference (SEC File No. 001-00100).</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sz w:val="20"/>
              </w:rPr>
            </w:pPr>
            <w:r>
              <w:rPr>
                <w:sz w:val="20"/>
              </w:rPr>
              <w:t>(11)</w:t>
            </w:r>
          </w:p>
        </w:tc>
        <w:tc>
          <w:tcPr>
            <w:tcW w:w="9821" w:type="dxa"/>
            <w:tcBorders/>
            <w:vAlign w:val="center"/>
          </w:tcPr>
          <w:p>
            <w:pPr>
              <w:pStyle w:val="TableContents"/>
              <w:bidi w:val="0"/>
              <w:spacing w:before="0" w:after="283"/>
              <w:jc w:val="left"/>
              <w:rPr>
                <w:sz w:val="20"/>
              </w:rPr>
            </w:pPr>
            <w:r>
              <w:rPr>
                <w:sz w:val="20"/>
              </w:rPr>
              <w:t>Filed as an exhibit to Form 8-K filed with the Commission on August 1, 2022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sz w:val="20"/>
              </w:rPr>
            </w:pPr>
            <w:r>
              <w:rPr>
                <w:sz w:val="20"/>
              </w:rPr>
              <w:t>(12)</w:t>
            </w:r>
          </w:p>
        </w:tc>
        <w:tc>
          <w:tcPr>
            <w:tcW w:w="9820" w:type="dxa"/>
            <w:tcBorders/>
            <w:vAlign w:val="center"/>
          </w:tcPr>
          <w:p>
            <w:pPr>
              <w:pStyle w:val="TableContents"/>
              <w:bidi w:val="0"/>
              <w:spacing w:before="0" w:after="283"/>
              <w:jc w:val="left"/>
              <w:rPr>
                <w:sz w:val="20"/>
              </w:rPr>
            </w:pPr>
            <w:r>
              <w:rPr>
                <w:sz w:val="20"/>
              </w:rPr>
              <w:t>Filed as an exhibit to Form 8-K filed with the Commission on May 9, 2022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sz w:val="20"/>
              </w:rPr>
            </w:pPr>
            <w:r>
              <w:rPr>
                <w:sz w:val="20"/>
              </w:rPr>
              <w:t>(13)</w:t>
            </w:r>
          </w:p>
        </w:tc>
        <w:tc>
          <w:tcPr>
            <w:tcW w:w="9819" w:type="dxa"/>
            <w:tcBorders/>
            <w:vAlign w:val="center"/>
          </w:tcPr>
          <w:p>
            <w:pPr>
              <w:pStyle w:val="TableContents"/>
              <w:bidi w:val="0"/>
              <w:spacing w:before="0" w:after="283"/>
              <w:jc w:val="left"/>
              <w:rPr>
                <w:sz w:val="20"/>
              </w:rPr>
            </w:pPr>
            <w:r>
              <w:rPr>
                <w:sz w:val="20"/>
              </w:rPr>
              <w:t>Filed as an exhibit to Form 8-K filed with the Commission on July 6, 2023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3"/>
        <w:gridCol w:w="9822"/>
      </w:tblGrid>
      <w:tr>
        <w:trPr/>
        <w:tc>
          <w:tcPr>
            <w:tcW w:w="383" w:type="dxa"/>
            <w:tcBorders/>
            <w:vAlign w:val="center"/>
          </w:tcPr>
          <w:p>
            <w:pPr>
              <w:pStyle w:val="TableContents"/>
              <w:bidi w:val="0"/>
              <w:spacing w:before="0" w:after="283"/>
              <w:jc w:val="left"/>
              <w:rPr>
                <w:sz w:val="20"/>
              </w:rPr>
            </w:pPr>
            <w:r>
              <w:rPr>
                <w:sz w:val="20"/>
              </w:rPr>
              <w:t>(14)</w:t>
            </w:r>
          </w:p>
        </w:tc>
        <w:tc>
          <w:tcPr>
            <w:tcW w:w="9822" w:type="dxa"/>
            <w:tcBorders/>
            <w:vAlign w:val="center"/>
          </w:tcPr>
          <w:p>
            <w:pPr>
              <w:pStyle w:val="TableContents"/>
              <w:bidi w:val="0"/>
              <w:spacing w:before="0" w:after="283"/>
              <w:jc w:val="left"/>
              <w:rPr>
                <w:sz w:val="20"/>
              </w:rPr>
            </w:pPr>
            <w:r>
              <w:rPr>
                <w:sz w:val="20"/>
              </w:rPr>
              <w:t>Filed as an exhibit to Form S-3 filed with the Commission on January 25, 2013 and incorporated hereby by reference (SEC File No. 333-186189).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sz w:val="20"/>
              </w:rPr>
            </w:pPr>
            <w:r>
              <w:rPr>
                <w:sz w:val="20"/>
              </w:rPr>
              <w:t>(15)</w:t>
            </w:r>
          </w:p>
        </w:tc>
        <w:tc>
          <w:tcPr>
            <w:tcW w:w="9832" w:type="dxa"/>
            <w:tcBorders/>
            <w:vAlign w:val="center"/>
          </w:tcPr>
          <w:p>
            <w:pPr>
              <w:pStyle w:val="TableContents"/>
              <w:bidi w:val="0"/>
              <w:spacing w:before="0" w:after="283"/>
              <w:jc w:val="left"/>
              <w:rPr>
                <w:sz w:val="20"/>
              </w:rPr>
            </w:pPr>
            <w:r>
              <w:rPr>
                <w:sz w:val="20"/>
              </w:rPr>
              <w:t>Filed as an exhibit to Form 10-K for the year ended December 31, 2022 filed with the Commission on April 7, 2023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sz w:val="20"/>
              </w:rPr>
            </w:pPr>
            <w:r>
              <w:rPr>
                <w:sz w:val="20"/>
              </w:rPr>
              <w:t>(16)</w:t>
            </w:r>
          </w:p>
        </w:tc>
        <w:tc>
          <w:tcPr>
            <w:tcW w:w="9821" w:type="dxa"/>
            <w:tcBorders/>
            <w:vAlign w:val="center"/>
          </w:tcPr>
          <w:p>
            <w:pPr>
              <w:pStyle w:val="TableContents"/>
              <w:bidi w:val="0"/>
              <w:spacing w:before="0" w:after="283"/>
              <w:jc w:val="left"/>
              <w:rPr>
                <w:sz w:val="20"/>
              </w:rPr>
            </w:pPr>
            <w:r>
              <w:rPr>
                <w:sz w:val="20"/>
              </w:rPr>
              <w:t>Filed as an exhibit to Form 8-K filed with the Commission on October 11, 2011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sz w:val="20"/>
              </w:rPr>
            </w:pPr>
            <w:r>
              <w:rPr>
                <w:sz w:val="20"/>
              </w:rPr>
              <w:t>(17)</w:t>
            </w:r>
          </w:p>
        </w:tc>
        <w:tc>
          <w:tcPr>
            <w:tcW w:w="9820" w:type="dxa"/>
            <w:tcBorders/>
            <w:vAlign w:val="center"/>
          </w:tcPr>
          <w:p>
            <w:pPr>
              <w:pStyle w:val="TableContents"/>
              <w:bidi w:val="0"/>
              <w:spacing w:before="0" w:after="283"/>
              <w:jc w:val="left"/>
              <w:rPr>
                <w:sz w:val="20"/>
              </w:rPr>
            </w:pPr>
            <w:r>
              <w:rPr>
                <w:sz w:val="20"/>
              </w:rPr>
              <w:t>Filed as an exhibit to Form S-8 filed with the Commission on June 21, 2019 and incorporated herein by reference (SEC File No. 333-232268).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283"/>
              <w:jc w:val="left"/>
              <w:rPr>
                <w:sz w:val="20"/>
              </w:rPr>
            </w:pPr>
            <w:r>
              <w:rPr>
                <w:sz w:val="20"/>
              </w:rPr>
              <w:t>(18)</w:t>
            </w:r>
          </w:p>
        </w:tc>
        <w:tc>
          <w:tcPr>
            <w:tcW w:w="9828" w:type="dxa"/>
            <w:tcBorders/>
            <w:vAlign w:val="center"/>
          </w:tcPr>
          <w:p>
            <w:pPr>
              <w:pStyle w:val="TableContents"/>
              <w:bidi w:val="0"/>
              <w:spacing w:before="0" w:after="283"/>
              <w:jc w:val="left"/>
              <w:rPr>
                <w:sz w:val="20"/>
              </w:rPr>
            </w:pPr>
            <w:r>
              <w:rPr>
                <w:sz w:val="20"/>
              </w:rPr>
              <w:t>Filed as an appendix to the Definitive Proxy Statement filed with the Commission on April 14, 2021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sz w:val="20"/>
              </w:rPr>
            </w:pPr>
            <w:r>
              <w:rPr>
                <w:sz w:val="20"/>
              </w:rPr>
              <w:t>(19)</w:t>
            </w:r>
          </w:p>
        </w:tc>
        <w:tc>
          <w:tcPr>
            <w:tcW w:w="9821" w:type="dxa"/>
            <w:tcBorders/>
            <w:vAlign w:val="center"/>
          </w:tcPr>
          <w:p>
            <w:pPr>
              <w:pStyle w:val="TableContents"/>
              <w:bidi w:val="0"/>
              <w:spacing w:before="0" w:after="283"/>
              <w:jc w:val="left"/>
              <w:rPr>
                <w:sz w:val="20"/>
              </w:rPr>
            </w:pPr>
            <w:r>
              <w:rPr>
                <w:sz w:val="20"/>
              </w:rPr>
              <w:t>Filed as an exhibit to Form 8-K filed with the Commission on August 22, 2013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sz w:val="20"/>
              </w:rPr>
            </w:pPr>
            <w:r>
              <w:rPr>
                <w:sz w:val="20"/>
              </w:rPr>
              <w:t>(20)</w:t>
            </w:r>
          </w:p>
        </w:tc>
        <w:tc>
          <w:tcPr>
            <w:tcW w:w="9830" w:type="dxa"/>
            <w:tcBorders/>
            <w:vAlign w:val="center"/>
          </w:tcPr>
          <w:p>
            <w:pPr>
              <w:pStyle w:val="TableContents"/>
              <w:bidi w:val="0"/>
              <w:spacing w:before="0" w:after="283"/>
              <w:jc w:val="left"/>
              <w:rPr>
                <w:sz w:val="20"/>
              </w:rPr>
            </w:pPr>
            <w:r>
              <w:rPr>
                <w:sz w:val="20"/>
              </w:rPr>
              <w:t>Filed as an exhibit to Registration Statement on Form S-8 filed with the Commission on October 15, 2013 and incorporated herein by reference (SEC File No. 333-191730).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283"/>
              <w:jc w:val="left"/>
              <w:rPr>
                <w:sz w:val="20"/>
              </w:rPr>
            </w:pPr>
            <w:r>
              <w:rPr>
                <w:sz w:val="20"/>
              </w:rPr>
              <w:t>(21)</w:t>
            </w:r>
          </w:p>
        </w:tc>
        <w:tc>
          <w:tcPr>
            <w:tcW w:w="9828" w:type="dxa"/>
            <w:tcBorders/>
            <w:vAlign w:val="center"/>
          </w:tcPr>
          <w:p>
            <w:pPr>
              <w:pStyle w:val="TableContents"/>
              <w:bidi w:val="0"/>
              <w:spacing w:before="0" w:after="283"/>
              <w:jc w:val="left"/>
              <w:rPr>
                <w:sz w:val="20"/>
              </w:rPr>
            </w:pPr>
            <w:r>
              <w:rPr>
                <w:sz w:val="20"/>
              </w:rPr>
              <w:t>Filed as an appendix to the Definitive Proxy Statement filed with the Commission on May 4, 2020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3"/>
        <w:gridCol w:w="9822"/>
      </w:tblGrid>
      <w:tr>
        <w:trPr/>
        <w:tc>
          <w:tcPr>
            <w:tcW w:w="383" w:type="dxa"/>
            <w:tcBorders/>
            <w:vAlign w:val="center"/>
          </w:tcPr>
          <w:p>
            <w:pPr>
              <w:pStyle w:val="TableContents"/>
              <w:bidi w:val="0"/>
              <w:spacing w:before="0" w:after="283"/>
              <w:jc w:val="left"/>
              <w:rPr>
                <w:sz w:val="20"/>
              </w:rPr>
            </w:pPr>
            <w:r>
              <w:rPr>
                <w:sz w:val="20"/>
              </w:rPr>
              <w:t>(22)</w:t>
            </w:r>
          </w:p>
        </w:tc>
        <w:tc>
          <w:tcPr>
            <w:tcW w:w="9822" w:type="dxa"/>
            <w:tcBorders/>
            <w:vAlign w:val="center"/>
          </w:tcPr>
          <w:p>
            <w:pPr>
              <w:pStyle w:val="TableContents"/>
              <w:bidi w:val="0"/>
              <w:spacing w:before="0" w:after="283"/>
              <w:jc w:val="left"/>
              <w:rPr>
                <w:sz w:val="20"/>
              </w:rPr>
            </w:pPr>
            <w:r>
              <w:rPr>
                <w:sz w:val="20"/>
              </w:rPr>
              <w:t>Filed as an exhibit to Form 8-K filed with the Commission on February 24, 2012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sz w:val="20"/>
              </w:rPr>
            </w:pPr>
            <w:r>
              <w:rPr>
                <w:sz w:val="20"/>
              </w:rPr>
              <w:t>(23)</w:t>
            </w:r>
          </w:p>
        </w:tc>
        <w:tc>
          <w:tcPr>
            <w:tcW w:w="9832" w:type="dxa"/>
            <w:tcBorders/>
            <w:vAlign w:val="center"/>
          </w:tcPr>
          <w:p>
            <w:pPr>
              <w:pStyle w:val="TableContents"/>
              <w:bidi w:val="0"/>
              <w:spacing w:before="0" w:after="283"/>
              <w:jc w:val="left"/>
              <w:rPr>
                <w:sz w:val="20"/>
              </w:rPr>
            </w:pPr>
            <w:r>
              <w:rPr>
                <w:sz w:val="20"/>
              </w:rPr>
              <w:t>Filed as an exhibit to Form 8-K filed with the Commission on February 6, 2013 and incorporated herein by reference (SEC File No. 000-16731).</w:t>
            </w:r>
          </w:p>
        </w:tc>
      </w:tr>
      <w:tr>
        <w:trPr/>
        <w:tc>
          <w:tcPr>
            <w:tcW w:w="373" w:type="dxa"/>
            <w:tcBorders/>
            <w:vAlign w:val="center"/>
          </w:tcPr>
          <w:p>
            <w:pPr>
              <w:pStyle w:val="TableContents"/>
              <w:bidi w:val="0"/>
              <w:spacing w:before="0" w:after="283"/>
              <w:jc w:val="left"/>
              <w:rPr/>
            </w:pPr>
            <w:r>
              <w:rPr/>
              <w:t> </w:t>
            </w:r>
          </w:p>
        </w:tc>
        <w:tc>
          <w:tcPr>
            <w:tcW w:w="9832" w:type="dxa"/>
            <w:tcBorders/>
            <w:vAlign w:val="center"/>
          </w:tcPr>
          <w:p>
            <w:pPr>
              <w:pStyle w:val="TableContents"/>
              <w:bidi w:val="0"/>
              <w:spacing w:before="0" w:after="283"/>
              <w:jc w:val="left"/>
              <w:rPr/>
            </w:pPr>
            <w:r>
              <w:rPr/>
              <w:t> </w:t>
            </w:r>
          </w:p>
        </w:tc>
      </w:tr>
      <w:tr>
        <w:trPr/>
        <w:tc>
          <w:tcPr>
            <w:tcW w:w="373" w:type="dxa"/>
            <w:tcBorders/>
            <w:vAlign w:val="center"/>
          </w:tcPr>
          <w:p>
            <w:pPr>
              <w:pStyle w:val="TableContents"/>
              <w:bidi w:val="0"/>
              <w:spacing w:before="0" w:after="283"/>
              <w:jc w:val="left"/>
              <w:rPr>
                <w:sz w:val="20"/>
              </w:rPr>
            </w:pPr>
            <w:r>
              <w:rPr>
                <w:sz w:val="20"/>
              </w:rPr>
              <w:t>(24)</w:t>
            </w:r>
          </w:p>
        </w:tc>
        <w:tc>
          <w:tcPr>
            <w:tcW w:w="9832" w:type="dxa"/>
            <w:tcBorders/>
            <w:vAlign w:val="center"/>
          </w:tcPr>
          <w:p>
            <w:pPr>
              <w:pStyle w:val="TableContents"/>
              <w:bidi w:val="0"/>
              <w:spacing w:before="0" w:after="283"/>
              <w:jc w:val="left"/>
              <w:rPr>
                <w:sz w:val="20"/>
              </w:rPr>
            </w:pPr>
            <w:r>
              <w:rPr>
                <w:sz w:val="20"/>
              </w:rPr>
              <w:t>Filed as an exhibit to Form 10-Q for the quarter ended June 30, 2020 filed with the Commission on August 7, 2020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3"/>
        <w:gridCol w:w="9822"/>
      </w:tblGrid>
      <w:tr>
        <w:trPr/>
        <w:tc>
          <w:tcPr>
            <w:tcW w:w="383" w:type="dxa"/>
            <w:tcBorders/>
            <w:vAlign w:val="center"/>
          </w:tcPr>
          <w:p>
            <w:pPr>
              <w:pStyle w:val="TableContents"/>
              <w:bidi w:val="0"/>
              <w:spacing w:before="0" w:after="283"/>
              <w:jc w:val="left"/>
              <w:rPr>
                <w:sz w:val="20"/>
              </w:rPr>
            </w:pPr>
            <w:r>
              <w:rPr>
                <w:sz w:val="20"/>
              </w:rPr>
              <w:t>(25)</w:t>
            </w:r>
          </w:p>
        </w:tc>
        <w:tc>
          <w:tcPr>
            <w:tcW w:w="9822" w:type="dxa"/>
            <w:tcBorders/>
            <w:vAlign w:val="center"/>
          </w:tcPr>
          <w:p>
            <w:pPr>
              <w:pStyle w:val="TableContents"/>
              <w:bidi w:val="0"/>
              <w:spacing w:before="0" w:after="283"/>
              <w:jc w:val="left"/>
              <w:rPr>
                <w:sz w:val="20"/>
              </w:rPr>
            </w:pPr>
            <w:r>
              <w:rPr>
                <w:sz w:val="20"/>
              </w:rPr>
              <w:t>Filed as an exhibit to Form 10-Q filed with the Commission on November 9, 2020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sz w:val="20"/>
              </w:rPr>
            </w:pPr>
            <w:r>
              <w:rPr>
                <w:sz w:val="20"/>
              </w:rPr>
              <w:t>(26)</w:t>
            </w:r>
          </w:p>
        </w:tc>
        <w:tc>
          <w:tcPr>
            <w:tcW w:w="9832" w:type="dxa"/>
            <w:tcBorders/>
            <w:vAlign w:val="center"/>
          </w:tcPr>
          <w:p>
            <w:pPr>
              <w:pStyle w:val="TableContents"/>
              <w:bidi w:val="0"/>
              <w:spacing w:before="0" w:after="283"/>
              <w:jc w:val="left"/>
              <w:rPr>
                <w:sz w:val="20"/>
              </w:rPr>
            </w:pPr>
            <w:r>
              <w:rPr>
                <w:sz w:val="20"/>
              </w:rPr>
              <w:t>Filed as an exhibit to Form 10-K for the year ended December 31, 2020 filed with the Commission on March 4, 2021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as an exhibit to Form 10-Q for the quarter ended September 30, 2018 filed with the Commission on November 8, 2018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as an exhibit to Form 10-Q for the quarter ended September 30, 2019 filed with the Commission on November 8, 2019 and incorporated herein by reference (SEC File No. 001-00100).</w:t>
            </w:r>
          </w:p>
        </w:tc>
      </w:tr>
      <w:tr>
        <w:trPr/>
        <w:tc>
          <w:tcPr>
            <w:tcW w:w="371" w:type="dxa"/>
            <w:tcBorders/>
            <w:vAlign w:val="center"/>
          </w:tcPr>
          <w:p>
            <w:pPr>
              <w:pStyle w:val="TableContents"/>
              <w:bidi w:val="0"/>
              <w:spacing w:before="0" w:after="283"/>
              <w:jc w:val="left"/>
              <w:rPr>
                <w:caps w:val="false"/>
                <w:smallCaps w:val="false"/>
              </w:rPr>
            </w:pPr>
            <w:r>
              <w:rPr>
                <w:caps w:val="false"/>
                <w:smallCaps w:val="false"/>
              </w:rPr>
              <w:t> </w:t>
            </w:r>
          </w:p>
        </w:tc>
        <w:tc>
          <w:tcPr>
            <w:tcW w:w="983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as an exhibit to Form 10-Q for the quarter ended June 30, 2019 filed with the Commission on August 9, 2019 and incorporated herein by reference (SEC File No. 001-00100).</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as an exhibit to Form 10-K for the year ended December 31, 2021, filed with the Commission on March 23, 2022 and incorporated herein by reference (SEC File No. 001-00100).</w:t>
            </w:r>
          </w:p>
        </w:tc>
      </w:tr>
      <w:tr>
        <w:trPr/>
        <w:tc>
          <w:tcPr>
            <w:tcW w:w="371" w:type="dxa"/>
            <w:tcBorders/>
            <w:vAlign w:val="center"/>
          </w:tcPr>
          <w:p>
            <w:pPr>
              <w:pStyle w:val="TableContents"/>
              <w:bidi w:val="0"/>
              <w:spacing w:before="0" w:after="283"/>
              <w:jc w:val="left"/>
              <w:rPr>
                <w:caps w:val="false"/>
                <w:smallCaps w:val="false"/>
              </w:rPr>
            </w:pPr>
            <w:r>
              <w:rPr>
                <w:caps w:val="false"/>
                <w:smallCaps w:val="false"/>
              </w:rPr>
              <w:t> </w:t>
            </w:r>
          </w:p>
        </w:tc>
        <w:tc>
          <w:tcPr>
            <w:tcW w:w="983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as an exhibit to Form 8-K filed with the Commission on October 3, 2022 and incorporated herein by reference (SEC File No. 001-00100).</w:t>
            </w:r>
          </w:p>
        </w:tc>
      </w:tr>
      <w:tr>
        <w:trPr/>
        <w:tc>
          <w:tcPr>
            <w:tcW w:w="371" w:type="dxa"/>
            <w:tcBorders/>
            <w:vAlign w:val="center"/>
          </w:tcPr>
          <w:p>
            <w:pPr>
              <w:pStyle w:val="TableContents"/>
              <w:bidi w:val="0"/>
              <w:spacing w:before="0" w:after="283"/>
              <w:jc w:val="left"/>
              <w:rPr>
                <w:caps w:val="false"/>
                <w:smallCaps w:val="false"/>
              </w:rPr>
            </w:pPr>
            <w:r>
              <w:rPr>
                <w:caps w:val="false"/>
                <w:smallCaps w:val="false"/>
              </w:rPr>
              <w:t> </w:t>
            </w:r>
          </w:p>
        </w:tc>
        <w:tc>
          <w:tcPr>
            <w:tcW w:w="983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as an exhibit to Form 8-K filed with the Commission on October 31, 2022 and incorporated herein by reference (SEC File No. 001-00100).</w:t>
            </w:r>
          </w:p>
        </w:tc>
      </w:tr>
      <w:tr>
        <w:trPr/>
        <w:tc>
          <w:tcPr>
            <w:tcW w:w="371" w:type="dxa"/>
            <w:tcBorders/>
            <w:vAlign w:val="center"/>
          </w:tcPr>
          <w:p>
            <w:pPr>
              <w:pStyle w:val="TableContents"/>
              <w:bidi w:val="0"/>
              <w:spacing w:before="0" w:after="283"/>
              <w:jc w:val="left"/>
              <w:rPr>
                <w:caps w:val="false"/>
                <w:smallCaps w:val="false"/>
              </w:rPr>
            </w:pPr>
            <w:r>
              <w:rPr>
                <w:caps w:val="false"/>
                <w:smallCaps w:val="false"/>
              </w:rPr>
              <w:t> </w:t>
            </w:r>
          </w:p>
        </w:tc>
        <w:tc>
          <w:tcPr>
            <w:tcW w:w="983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as an exhibit to Form 8-K filed with the Commission on December 5, 2022 and incorporated herein by reference (SEC File No. 001-00100).</w:t>
            </w:r>
          </w:p>
        </w:tc>
      </w:tr>
      <w:tr>
        <w:trPr/>
        <w:tc>
          <w:tcPr>
            <w:tcW w:w="371" w:type="dxa"/>
            <w:tcBorders/>
            <w:vAlign w:val="center"/>
          </w:tcPr>
          <w:p>
            <w:pPr>
              <w:pStyle w:val="TableContents"/>
              <w:bidi w:val="0"/>
              <w:spacing w:before="0" w:after="283"/>
              <w:jc w:val="left"/>
              <w:rPr>
                <w:caps w:val="false"/>
                <w:smallCaps w:val="false"/>
              </w:rPr>
            </w:pPr>
            <w:r>
              <w:rPr>
                <w:caps w:val="false"/>
                <w:smallCaps w:val="false"/>
              </w:rPr>
              <w:t> </w:t>
            </w:r>
          </w:p>
        </w:tc>
        <w:tc>
          <w:tcPr>
            <w:tcW w:w="983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as an exhibit to Form 8-K filed with the Commission on February 27, 2023 and incorporated herein by reference (SEC File No. 001-00100).</w:t>
            </w:r>
          </w:p>
        </w:tc>
      </w:tr>
      <w:tr>
        <w:trPr/>
        <w:tc>
          <w:tcPr>
            <w:tcW w:w="371" w:type="dxa"/>
            <w:tcBorders/>
            <w:vAlign w:val="center"/>
          </w:tcPr>
          <w:p>
            <w:pPr>
              <w:pStyle w:val="TableContents"/>
              <w:bidi w:val="0"/>
              <w:spacing w:before="0" w:after="283"/>
              <w:jc w:val="left"/>
              <w:rPr>
                <w:caps w:val="false"/>
                <w:smallCaps w:val="false"/>
              </w:rPr>
            </w:pPr>
            <w:r>
              <w:rPr>
                <w:caps w:val="false"/>
                <w:smallCaps w:val="false"/>
              </w:rPr>
              <w:t> </w:t>
            </w:r>
          </w:p>
        </w:tc>
        <w:tc>
          <w:tcPr>
            <w:tcW w:w="983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as an appendix to the Definitive Proxy Statement filed with the Commission on May 17, 2023 and incorporated herein by reference (SEC File No. 001-00100).</w:t>
            </w:r>
          </w:p>
        </w:tc>
      </w:tr>
      <w:tr>
        <w:trPr/>
        <w:tc>
          <w:tcPr>
            <w:tcW w:w="371" w:type="dxa"/>
            <w:tcBorders/>
            <w:vAlign w:val="center"/>
          </w:tcPr>
          <w:p>
            <w:pPr>
              <w:pStyle w:val="TableContents"/>
              <w:bidi w:val="0"/>
              <w:spacing w:before="0" w:after="283"/>
              <w:jc w:val="left"/>
              <w:rPr>
                <w:caps w:val="false"/>
                <w:smallCaps w:val="false"/>
              </w:rPr>
            </w:pPr>
            <w:r>
              <w:rPr>
                <w:caps w:val="false"/>
                <w:smallCaps w:val="false"/>
              </w:rPr>
              <w:t> </w:t>
            </w:r>
          </w:p>
        </w:tc>
        <w:tc>
          <w:tcPr>
            <w:tcW w:w="983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as an exhibit to Form 10-Q for the quarter ended September 30, 2023, filed with the Commission on November 14, 2023 and incorporated herein by reference (SEC File No. 001-00100).</w:t>
            </w:r>
          </w:p>
        </w:tc>
      </w:tr>
      <w:tr>
        <w:trPr/>
        <w:tc>
          <w:tcPr>
            <w:tcW w:w="371" w:type="dxa"/>
            <w:tcBorders/>
            <w:vAlign w:val="center"/>
          </w:tcPr>
          <w:p>
            <w:pPr>
              <w:pStyle w:val="TableContents"/>
              <w:bidi w:val="0"/>
              <w:spacing w:before="0" w:after="283"/>
              <w:jc w:val="left"/>
              <w:rPr>
                <w:caps w:val="false"/>
                <w:smallCaps w:val="false"/>
              </w:rPr>
            </w:pPr>
            <w:r>
              <w:rPr>
                <w:caps w:val="false"/>
                <w:smallCaps w:val="false"/>
              </w:rPr>
              <w:t> </w:t>
            </w:r>
          </w:p>
        </w:tc>
        <w:tc>
          <w:tcPr>
            <w:tcW w:w="983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as an exhibit to Form 10-K for the year ended December 31, 2023 filed with the Commission on March 29, 2024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98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as an exhibit to Form 10-K for the year ended December 31, 2024 filed with the Commission on March 27, 2025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 on April 30, 2025.</w:t>
      </w:r>
    </w:p>
    <w:p>
      <w:pPr>
        <w:pStyle w:val="TextBody"/>
        <w:bidi w:val="0"/>
        <w:spacing w:before="0" w:after="0"/>
        <w:ind w:left="0" w:right="0" w:hanging="0"/>
        <w:jc w:val="left"/>
        <w:rPr>
          <w:caps w:val="false"/>
          <w:smallCaps w:val="false"/>
        </w:rPr>
      </w:pPr>
      <w:r>
        <w:rPr>
          <w:caps w:val="false"/>
          <w:smallCaps w:val="false"/>
        </w:rPr>
        <w:t> </w:t>
      </w:r>
    </w:p>
    <w:tbl>
      <w:tblPr>
        <w:tblW w:w="2570" w:type="dxa"/>
        <w:jc w:val="left"/>
        <w:tblInd w:w="0" w:type="dxa"/>
        <w:tblLayout w:type="fixed"/>
        <w:tblCellMar>
          <w:top w:w="0" w:type="dxa"/>
          <w:left w:w="0" w:type="dxa"/>
          <w:bottom w:w="0" w:type="dxa"/>
          <w:right w:w="0" w:type="dxa"/>
        </w:tblCellMar>
      </w:tblPr>
      <w:tblGrid>
        <w:gridCol w:w="105"/>
        <w:gridCol w:w="2465"/>
      </w:tblGrid>
      <w:tr>
        <w:trPr/>
        <w:tc>
          <w:tcPr>
            <w:tcW w:w="105"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b/>
                <w:sz w:val="20"/>
              </w:rPr>
            </w:pPr>
            <w:r>
              <w:rPr>
                <w:b/>
                <w:sz w:val="20"/>
              </w:rPr>
              <w:t xml:space="preserve">THERAPEUTICSMD, INC. </w:t>
            </w:r>
          </w:p>
        </w:tc>
      </w:tr>
      <w:tr>
        <w:trPr/>
        <w:tc>
          <w:tcPr>
            <w:tcW w:w="105"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46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Marlan D. Walker</w:t>
            </w:r>
          </w:p>
        </w:tc>
      </w:tr>
      <w:tr>
        <w:trPr/>
        <w:tc>
          <w:tcPr>
            <w:tcW w:w="105"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sz w:val="20"/>
              </w:rPr>
            </w:pPr>
            <w:r>
              <w:rPr>
                <w:sz w:val="20"/>
              </w:rPr>
              <w:t>Marlan D. Walker</w:t>
            </w:r>
          </w:p>
        </w:tc>
      </w:tr>
      <w:tr>
        <w:trPr/>
        <w:tc>
          <w:tcPr>
            <w:tcW w:w="105"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 w:name="ea023959601ex31-1_therape.htm"/>
      <w:bookmarkStart w:id="10" w:name="ksea023959601ex311_therape"/>
      <w:bookmarkEnd w:id="9"/>
      <w:bookmarkEnd w:id="10"/>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Marlan D. Walker, certify that:</w:t>
      </w:r>
    </w:p>
    <w:p>
      <w:pPr>
        <w:pStyle w:val="TextBody"/>
        <w:bidi w:val="0"/>
        <w:spacing w:before="0" w:after="0"/>
        <w:ind w:left="0" w:right="0" w:hanging="0"/>
        <w:jc w:val="left"/>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9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7535" w:type="dxa"/>
            <w:tcBorders/>
            <w:vAlign w:val="center"/>
          </w:tcPr>
          <w:p>
            <w:pPr>
              <w:pStyle w:val="TableContents"/>
              <w:bidi w:val="0"/>
              <w:spacing w:before="0" w:after="283"/>
              <w:jc w:val="both"/>
              <w:rPr/>
            </w:pPr>
            <w:r>
              <w:rPr/>
              <w:t>I have reviewed this Annual Report on Form 10-K/A of TherapeuticsMD,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38"/>
        <w:gridCol w:w="29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1010" w:type="dxa"/>
            <w:tcBorders/>
            <w:vAlign w:val="center"/>
          </w:tcPr>
          <w:p>
            <w:pPr>
              <w:pStyle w:val="TableContents"/>
              <w:bidi w:val="0"/>
              <w:spacing w:before="0" w:after="283"/>
              <w:jc w:val="both"/>
              <w:rPr/>
            </w:pPr>
            <w:r>
              <w:rPr/>
              <w:t>[Omitted];</w:t>
            </w:r>
          </w:p>
        </w:tc>
      </w:tr>
    </w:tbl>
    <w:p>
      <w:pPr>
        <w:pStyle w:val="TextBody"/>
        <w:bidi w:val="0"/>
        <w:spacing w:before="0" w:after="0"/>
        <w:jc w:val="left"/>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9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1415" w:type="dxa"/>
            <w:tcBorders/>
            <w:vAlign w:val="center"/>
          </w:tcPr>
          <w:p>
            <w:pPr>
              <w:pStyle w:val="TableContents"/>
              <w:bidi w:val="0"/>
              <w:spacing w:before="0" w:after="283"/>
              <w:jc w:val="both"/>
              <w:rPr/>
            </w:pPr>
            <w:r>
              <w:rPr/>
              <w:t>[Omitted]; and</w:t>
            </w:r>
          </w:p>
        </w:tc>
      </w:tr>
    </w:tbl>
    <w:p>
      <w:pPr>
        <w:pStyle w:val="TextBody"/>
        <w:bidi w:val="0"/>
        <w:spacing w:before="0" w:after="0"/>
        <w:jc w:val="left"/>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38"/>
        <w:gridCol w:w="29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(5)</w:t>
            </w:r>
          </w:p>
        </w:tc>
        <w:tc>
          <w:tcPr>
            <w:tcW w:w="1010" w:type="dxa"/>
            <w:tcBorders/>
            <w:vAlign w:val="center"/>
          </w:tcPr>
          <w:p>
            <w:pPr>
              <w:pStyle w:val="TableContents"/>
              <w:bidi w:val="0"/>
              <w:spacing w:before="0" w:after="283"/>
              <w:jc w:val="both"/>
              <w:rPr/>
            </w:pPr>
            <w:r>
              <w:rPr/>
              <w:t>[Omitted].</w:t>
            </w:r>
          </w:p>
        </w:tc>
      </w:tr>
    </w:tbl>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000"/>
        <w:gridCol w:w="2300"/>
      </w:tblGrid>
      <w:tr>
        <w:trPr/>
        <w:tc>
          <w:tcPr>
            <w:tcW w:w="2000" w:type="dxa"/>
            <w:tcBorders/>
            <w:vAlign w:val="center"/>
          </w:tcPr>
          <w:p>
            <w:pPr>
              <w:pStyle w:val="TableContents"/>
              <w:bidi w:val="0"/>
              <w:spacing w:before="0" w:after="283"/>
              <w:jc w:val="left"/>
              <w:rPr/>
            </w:pPr>
            <w:r>
              <w:rPr/>
              <w:t>Date: April 30, 2025</w:t>
            </w:r>
          </w:p>
        </w:tc>
        <w:tc>
          <w:tcPr>
            <w:tcW w:w="230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Marlan D. Walker</w:t>
            </w:r>
          </w:p>
        </w:tc>
      </w:tr>
      <w:tr>
        <w:trPr/>
        <w:tc>
          <w:tcPr>
            <w:tcW w:w="200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Marlan D. Walker</w:t>
            </w:r>
          </w:p>
        </w:tc>
      </w:tr>
      <w:tr>
        <w:trPr/>
        <w:tc>
          <w:tcPr>
            <w:tcW w:w="200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1" w:name="ea023959601ex31-2_therape.htm"/>
      <w:bookmarkStart w:id="12" w:name="ksea023959601ex312_therape"/>
      <w:bookmarkEnd w:id="11"/>
      <w:bookmarkEnd w:id="12"/>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Joseph Ziegler, certify that:</w:t>
      </w:r>
    </w:p>
    <w:p>
      <w:pPr>
        <w:pStyle w:val="TextBody"/>
        <w:bidi w:val="0"/>
        <w:spacing w:before="0" w:after="0"/>
        <w:ind w:left="0" w:right="0" w:hanging="0"/>
        <w:jc w:val="left"/>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9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7535" w:type="dxa"/>
            <w:tcBorders/>
            <w:vAlign w:val="center"/>
          </w:tcPr>
          <w:p>
            <w:pPr>
              <w:pStyle w:val="TableContents"/>
              <w:bidi w:val="0"/>
              <w:spacing w:before="0" w:after="283"/>
              <w:jc w:val="both"/>
              <w:rPr/>
            </w:pPr>
            <w:r>
              <w:rPr/>
              <w:t>I have reviewed this Annual Report on Form 10-K/A of TherapeuticsMD,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38"/>
        <w:gridCol w:w="29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1010" w:type="dxa"/>
            <w:tcBorders/>
            <w:vAlign w:val="center"/>
          </w:tcPr>
          <w:p>
            <w:pPr>
              <w:pStyle w:val="TableContents"/>
              <w:bidi w:val="0"/>
              <w:spacing w:before="0" w:after="283"/>
              <w:jc w:val="both"/>
              <w:rPr/>
            </w:pPr>
            <w:r>
              <w:rPr/>
              <w:t>[Omitted];</w:t>
            </w:r>
          </w:p>
        </w:tc>
      </w:tr>
    </w:tbl>
    <w:p>
      <w:pPr>
        <w:pStyle w:val="TextBody"/>
        <w:bidi w:val="0"/>
        <w:spacing w:before="0" w:after="0"/>
        <w:ind w:left="0" w:right="0" w:hanging="0"/>
        <w:jc w:val="left"/>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9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1415" w:type="dxa"/>
            <w:tcBorders/>
            <w:vAlign w:val="center"/>
          </w:tcPr>
          <w:p>
            <w:pPr>
              <w:pStyle w:val="TableContents"/>
              <w:bidi w:val="0"/>
              <w:spacing w:before="0" w:after="283"/>
              <w:jc w:val="both"/>
              <w:rPr/>
            </w:pPr>
            <w:r>
              <w:rPr/>
              <w:t>[Omitted]; and</w:t>
            </w:r>
          </w:p>
        </w:tc>
      </w:tr>
    </w:tbl>
    <w:p>
      <w:pPr>
        <w:pStyle w:val="TextBody"/>
        <w:bidi w:val="0"/>
        <w:spacing w:before="0" w:after="0"/>
        <w:ind w:left="0" w:right="0" w:hanging="0"/>
        <w:jc w:val="left"/>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38"/>
        <w:gridCol w:w="29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(5)</w:t>
            </w:r>
          </w:p>
        </w:tc>
        <w:tc>
          <w:tcPr>
            <w:tcW w:w="1010" w:type="dxa"/>
            <w:tcBorders/>
            <w:vAlign w:val="center"/>
          </w:tcPr>
          <w:p>
            <w:pPr>
              <w:pStyle w:val="TableContents"/>
              <w:bidi w:val="0"/>
              <w:spacing w:before="0" w:after="283"/>
              <w:jc w:val="both"/>
              <w:rPr/>
            </w:pPr>
            <w:r>
              <w:rPr/>
              <w:t>[Omitted].</w:t>
            </w:r>
          </w:p>
        </w:tc>
      </w:tr>
    </w:tbl>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2000"/>
        <w:gridCol w:w="2210"/>
      </w:tblGrid>
      <w:tr>
        <w:trPr/>
        <w:tc>
          <w:tcPr>
            <w:tcW w:w="2000" w:type="dxa"/>
            <w:tcBorders/>
            <w:vAlign w:val="center"/>
          </w:tcPr>
          <w:p>
            <w:pPr>
              <w:pStyle w:val="TableContents"/>
              <w:bidi w:val="0"/>
              <w:spacing w:before="0" w:after="283"/>
              <w:jc w:val="left"/>
              <w:rPr/>
            </w:pPr>
            <w:r>
              <w:rPr/>
              <w:t>Date: April 30, 2025</w:t>
            </w:r>
          </w:p>
        </w:tc>
        <w:tc>
          <w:tcPr>
            <w:tcW w:w="221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2210" w:type="dxa"/>
            <w:tcBorders>
              <w:bottom w:val="single" w:sz="12" w:space="0" w:color="000000"/>
            </w:tcBorders>
            <w:tcMar>
              <w:bottom w:w="28" w:type="dxa"/>
            </w:tcMar>
            <w:vAlign w:val="center"/>
          </w:tcPr>
          <w:p>
            <w:pPr>
              <w:pStyle w:val="TableContents"/>
              <w:bidi w:val="0"/>
              <w:spacing w:before="0" w:after="283"/>
              <w:jc w:val="left"/>
              <w:rPr/>
            </w:pPr>
            <w:r>
              <w:rPr/>
              <w:t>/s/ Joseph Ziegler</w:t>
            </w:r>
          </w:p>
        </w:tc>
      </w:tr>
      <w:tr>
        <w:trPr/>
        <w:tc>
          <w:tcPr>
            <w:tcW w:w="200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Joseph Ziegler</w:t>
            </w:r>
          </w:p>
        </w:tc>
      </w:tr>
      <w:tr>
        <w:trPr/>
        <w:tc>
          <w:tcPr>
            <w:tcW w:w="200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Principal Financial and</w:t>
              <w:br/>
              <w:t>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25743/000101968709002459/croff_8k-ex0201.htm" TargetMode="External"/><Relationship Id="rId4" Type="http://schemas.openxmlformats.org/officeDocument/2006/relationships/hyperlink" Target="http://www.sec.gov/Archives/edgar/data/25743/000119312510138955/dex101.htm" TargetMode="External"/><Relationship Id="rId5" Type="http://schemas.openxmlformats.org/officeDocument/2006/relationships/hyperlink" Target="http://www.sec.gov/Archives/edgar/data/25743/000135601808000256/ex332.htm" TargetMode="External"/><Relationship Id="rId6" Type="http://schemas.openxmlformats.org/officeDocument/2006/relationships/hyperlink" Target="http://www.sec.gov/Archives/edgar/data/25743/000138713111001316/ex-10_01.htm" TargetMode="External"/><Relationship Id="rId7" Type="http://schemas.openxmlformats.org/officeDocument/2006/relationships/hyperlink" Target="http://www.sec.gov/Archives/edgar/data/25743/000156459022009476/txmd-ex21_221.htm" TargetMode="External"/><Relationship Id="rId8" Type="http://schemas.openxmlformats.org/officeDocument/2006/relationships/hyperlink" Target="http://www.sec.gov/Archives/edgar/data/25743/000119312510175462/dex34.htm" TargetMode="External"/><Relationship Id="rId9" Type="http://schemas.openxmlformats.org/officeDocument/2006/relationships/hyperlink" Target="http://www.sec.gov/Archives/edgar/data/25743/000119312510175462/dex35.htm" TargetMode="External"/><Relationship Id="rId10" Type="http://schemas.openxmlformats.org/officeDocument/2006/relationships/hyperlink" Target="http://www.sec.gov/Archives/edgar/data/25743/000119312523211458/d499757dex31.htm" TargetMode="External"/><Relationship Id="rId11" Type="http://schemas.openxmlformats.org/officeDocument/2006/relationships/hyperlink" Target="http://www.sec.gov/Archives/edgar/data/25743/000119312510149198/ddef14c.htm" TargetMode="External"/><Relationship Id="rId12" Type="http://schemas.openxmlformats.org/officeDocument/2006/relationships/hyperlink" Target="http://www.sec.gov/Archives/edgar/data/25743/000138713115003704/ex3-1.htm" TargetMode="External"/><Relationship Id="rId13" Type="http://schemas.openxmlformats.org/officeDocument/2006/relationships/hyperlink" Target="http://www.sec.gov/Archives/edgar/data/25743/000156459022022465/txmd-ex31_10.htm" TargetMode="External"/><Relationship Id="rId14" Type="http://schemas.openxmlformats.org/officeDocument/2006/relationships/hyperlink" Target="http://www.sec.gov/Archives/edgar/data/25743/000119312522207645/d356180dex32.htm" TargetMode="External"/><Relationship Id="rId15" Type="http://schemas.openxmlformats.org/officeDocument/2006/relationships/hyperlink" Target="http://www.sec.gov/Archives/edgar/data/25743/000156459022018687/txmd-ex31_8.htm" TargetMode="External"/><Relationship Id="rId16" Type="http://schemas.openxmlformats.org/officeDocument/2006/relationships/hyperlink" Target="http://www.sec.gov/Archives/edgar/data/25743/000119312522207645/d356180dex31.htm" TargetMode="External"/><Relationship Id="rId17" Type="http://schemas.openxmlformats.org/officeDocument/2006/relationships/hyperlink" Target="http://www.sec.gov/Archives/edgar/data/25743/000119312523182808/d816117dex31.htm" TargetMode="External"/><Relationship Id="rId18" Type="http://schemas.openxmlformats.org/officeDocument/2006/relationships/hyperlink" Target="http://www.sec.gov/Archives/edgar/data/25743/000138713113000166/ex4-2.htm" TargetMode="External"/><Relationship Id="rId19" Type="http://schemas.openxmlformats.org/officeDocument/2006/relationships/hyperlink" Target="http://www.sec.gov/Archives/edgar/data/25743/000156459023005514/txmd-ex42_160.htm" TargetMode="External"/><Relationship Id="rId20" Type="http://schemas.openxmlformats.org/officeDocument/2006/relationships/hyperlink" Target="http://www.sec.gov/Archives/edgar/data/25743/000138713111002213/ex-10_3.htm" TargetMode="External"/><Relationship Id="rId21" Type="http://schemas.openxmlformats.org/officeDocument/2006/relationships/hyperlink" Target="http://www.sec.gov/Archives/edgar/data/25743/000138713111002213/ex-10_2.htm" TargetMode="External"/><Relationship Id="rId22" Type="http://schemas.openxmlformats.org/officeDocument/2006/relationships/hyperlink" Target="http://www.sec.gov/Archives/edgar/data/25743/000138713119004545/ex99-1.htm" TargetMode="External"/><Relationship Id="rId23" Type="http://schemas.openxmlformats.org/officeDocument/2006/relationships/hyperlink" Target="http://www.sec.gov/Archives/edgar/data/25743/000138713113003145/ex10-34.htm" TargetMode="External"/><Relationship Id="rId24" Type="http://schemas.openxmlformats.org/officeDocument/2006/relationships/hyperlink" Target="http://www.sec.gov/Archives/edgar/data/25743/000119312513399924/d611784dex991.htm" TargetMode="External"/><Relationship Id="rId25" Type="http://schemas.openxmlformats.org/officeDocument/2006/relationships/hyperlink" Target="http://www.sec.gov/Archives/edgar/data/25743/000138713112000490/ex-10_3.htm" TargetMode="External"/><Relationship Id="rId26" Type="http://schemas.openxmlformats.org/officeDocument/2006/relationships/hyperlink" Target="http://www.sec.gov/Archives/edgar/data/25743/000138713113000292/ex10_1.htm" TargetMode="External"/><Relationship Id="rId27" Type="http://schemas.openxmlformats.org/officeDocument/2006/relationships/hyperlink" Target="http://www.sec.gov/Archives/edgar/data/25743/000138713120007144/ex4-1.htm" TargetMode="External"/><Relationship Id="rId28" Type="http://schemas.openxmlformats.org/officeDocument/2006/relationships/hyperlink" Target="http://www.sec.gov/Archives/edgar/data/25743/000138713120009695/ex4-2.htm" TargetMode="External"/><Relationship Id="rId29" Type="http://schemas.openxmlformats.org/officeDocument/2006/relationships/hyperlink" Target="http://www.sec.gov/Archives/edgar/data/25743/000138713121003140/ex10-12.htm" TargetMode="External"/><Relationship Id="rId30" Type="http://schemas.openxmlformats.org/officeDocument/2006/relationships/hyperlink" Target="http://www.sec.gov/Archives/edgar/data/25743/000138713121003140/ex10-13.htm" TargetMode="External"/><Relationship Id="rId31" Type="http://schemas.openxmlformats.org/officeDocument/2006/relationships/hyperlink" Target="http://www.sec.gov/Archives/edgar/data/25743/000138713121003140/ex10-14.htm" TargetMode="External"/><Relationship Id="rId32" Type="http://schemas.openxmlformats.org/officeDocument/2006/relationships/hyperlink" Target="http://www.sec.gov/Archives/edgar/data/25743/000138713121003140/ex10-15.htm" TargetMode="External"/><Relationship Id="rId33" Type="http://schemas.openxmlformats.org/officeDocument/2006/relationships/hyperlink" Target="http://www.sec.gov/Archives/edgar/data/25743/000138713121003140/ex10-16.htm" TargetMode="External"/><Relationship Id="rId34" Type="http://schemas.openxmlformats.org/officeDocument/2006/relationships/hyperlink" Target="http://www.sec.gov/Archives/edgar/data/25743/000138713120007144/ex10-5.htm" TargetMode="External"/><Relationship Id="rId35" Type="http://schemas.openxmlformats.org/officeDocument/2006/relationships/hyperlink" Target="http://www.sec.gov/Archives/edgar/data/25743/000138713118005976/ex10-1.htm" TargetMode="External"/><Relationship Id="rId36" Type="http://schemas.openxmlformats.org/officeDocument/2006/relationships/hyperlink" Target="http://www.sec.gov/Archives/edgar/data/25743/000138713119008469/ex10-2.htm" TargetMode="External"/><Relationship Id="rId37" Type="http://schemas.openxmlformats.org/officeDocument/2006/relationships/hyperlink" Target="http://www.sec.gov/Archives/edgar/data/25743/000138713119005935/ex10-3.htm" TargetMode="External"/><Relationship Id="rId38" Type="http://schemas.openxmlformats.org/officeDocument/2006/relationships/hyperlink" Target="http://www.sec.gov/Archives/edgar/data/25743/000138713120009695/ex10-3.htm" TargetMode="External"/><Relationship Id="rId39" Type="http://schemas.openxmlformats.org/officeDocument/2006/relationships/hyperlink" Target="http://www.sec.gov/Archives/edgar/data/25743/000156459022011525/txmd-ex1055_277.htm" TargetMode="External"/><Relationship Id="rId40" Type="http://schemas.openxmlformats.org/officeDocument/2006/relationships/hyperlink" Target="http://www.sec.gov/Archives/edgar/data/25743/000119312522207645/d356180dex101.htm" TargetMode="External"/><Relationship Id="rId41" Type="http://schemas.openxmlformats.org/officeDocument/2006/relationships/hyperlink" Target="http://www.sec.gov/Archives/edgar/data/25743/000119312522207645/d356180dex102.htm" TargetMode="External"/><Relationship Id="rId42" Type="http://schemas.openxmlformats.org/officeDocument/2006/relationships/hyperlink" Target="http://www.sec.gov/Archives/edgar/data/25743/000119312522256102/d378570dex101.htm" TargetMode="External"/><Relationship Id="rId43" Type="http://schemas.openxmlformats.org/officeDocument/2006/relationships/hyperlink" Target="http://www.sec.gov/Archives/edgar/data/25743/000119312522256102/d378570dex102.htm" TargetMode="External"/><Relationship Id="rId44" Type="http://schemas.openxmlformats.org/officeDocument/2006/relationships/hyperlink" Target="http://www.sec.gov/Archives/edgar/data/25743/000119312522273110/d394277dex101.htm" TargetMode="External"/><Relationship Id="rId45" Type="http://schemas.openxmlformats.org/officeDocument/2006/relationships/hyperlink" Target="http://www.sec.gov/Archives/edgar/data/25743/000119312522273110/d394277dex102.htm" TargetMode="External"/><Relationship Id="rId46" Type="http://schemas.openxmlformats.org/officeDocument/2006/relationships/hyperlink" Target="http://www.sec.gov/Archives/edgar/data/25743/000119312522298002/d409080dex101.htm" TargetMode="External"/><Relationship Id="rId47" Type="http://schemas.openxmlformats.org/officeDocument/2006/relationships/hyperlink" Target="http://www.sec.gov/Archives/edgar/data/25743/000119312522298002/d409080dex102.htm" TargetMode="External"/><Relationship Id="rId48" Type="http://schemas.openxmlformats.org/officeDocument/2006/relationships/hyperlink" Target="http://www.sec.gov/Archives/edgar/data/25743/000156459023005514/txmd-ex1045_158.htm" TargetMode="External"/><Relationship Id="rId49" Type="http://schemas.openxmlformats.org/officeDocument/2006/relationships/hyperlink" Target="http://www.sec.gov/Archives/edgar/data/25743/000156459023005514/txmd-ex1046_159.htm" TargetMode="External"/><Relationship Id="rId50" Type="http://schemas.openxmlformats.org/officeDocument/2006/relationships/hyperlink" Target="http://www.sec.gov/Archives/edgar/data/25743/000156459023005514/txmd-ex1047_471.htm" TargetMode="External"/><Relationship Id="rId51" Type="http://schemas.openxmlformats.org/officeDocument/2006/relationships/hyperlink" Target="http://www.sec.gov/Archives/edgar/data/25743/000156459023005514/txmd-ex1048_439.htm" TargetMode="External"/><Relationship Id="rId52" Type="http://schemas.openxmlformats.org/officeDocument/2006/relationships/hyperlink" Target="http://www.sec.gov/Archives/edgar/data/25743/000119312523050813/d372195dex101.htm" TargetMode="External"/><Relationship Id="rId53" Type="http://schemas.openxmlformats.org/officeDocument/2006/relationships/hyperlink" Target="http://www.sec.gov/Archives/edgar/data/25743/000101376225003442/ea023203401ex10-36_therapeu.htm" TargetMode="External"/><Relationship Id="rId54" Type="http://schemas.openxmlformats.org/officeDocument/2006/relationships/hyperlink" Target="http://www.sec.gov/Archives/edgar/data/25743/000119312523050813/d372195dex102.htm" TargetMode="External"/><Relationship Id="rId55" Type="http://schemas.openxmlformats.org/officeDocument/2006/relationships/hyperlink" Target="http://www.sec.gov/Archives/edgar/data/25743/000119312523277143/d569965dex101.htm" TargetMode="External"/><Relationship Id="rId56" Type="http://schemas.openxmlformats.org/officeDocument/2006/relationships/hyperlink" Target="http://www.sec.gov/Archives/edgar/data/25743/000101376225003442/ea023203401ex19_therapeu.htm" TargetMode="External"/><Relationship Id="rId57" Type="http://schemas.openxmlformats.org/officeDocument/2006/relationships/hyperlink" Target="http://www.sec.gov/Archives/edgar/data/25743/000101376225003442/ea023203401ex21-1_therapeu.htm" TargetMode="External"/><Relationship Id="rId58" Type="http://schemas.openxmlformats.org/officeDocument/2006/relationships/hyperlink" Target="http://www.sec.gov/Archives/edgar/data/25743/000101376225003442/ea023203401ex23-1_therapeu.htm" TargetMode="External"/><Relationship Id="rId59" Type="http://schemas.openxmlformats.org/officeDocument/2006/relationships/hyperlink" Target="http://www.sec.gov/Archives/edgar/data/25743/000101376225003442/ea023203401ex32-1_therapeu.htm" TargetMode="External"/><Relationship Id="rId60" Type="http://schemas.openxmlformats.org/officeDocument/2006/relationships/hyperlink" Target="http://www.sec.gov/Archives/edgar/data/25743/000101376225003442/ea023203401ex32-2_therapeu.htm" TargetMode="External"/><Relationship Id="rId61" Type="http://schemas.openxmlformats.org/officeDocument/2006/relationships/hyperlink" Target="http://www.sec.gov/Archives/edgar/data/25743/000121390024028003/ea020146501ex97-1_therapeu.htm" TargetMode="External"/><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12384</Words>
  <Characters>66537</Characters>
  <CharactersWithSpaces>79216</CharactersWithSpaces>
  <Paragraphs>1932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