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740"/>
        <w:spacing w:after="0"/>
        <w:tabs>
          <w:tab w:leader="none" w:pos="66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3876675</wp:posOffset>
            </wp:positionH>
            <wp:positionV relativeFrom="paragraph">
              <wp:posOffset>-5080</wp:posOffset>
            </wp:positionV>
            <wp:extent cx="866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001-00100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TherapeuticsMD,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87-0233535</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3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951 Yamato Road, Suite 220, Boca Raton, Florida</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33431</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561-961-1900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TXMD</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May 11, 2026, there were 11,574,362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98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r>
      <w:tr>
        <w:trPr>
          <w:trHeight w:val="439"/>
        </w:trPr>
        <w:tc>
          <w:tcPr>
            <w:tcW w:w="7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35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w:t>
            </w:r>
          </w:p>
        </w:tc>
      </w:tr>
      <w:tr>
        <w:trPr>
          <w:trHeight w:val="196"/>
        </w:trPr>
        <w:tc>
          <w:tcPr>
            <w:tcW w:w="10680" w:type="dxa"/>
            <w:vAlign w:val="bottom"/>
            <w:gridSpan w:val="21"/>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Part I - Financial Information</w:t>
            </w:r>
          </w:p>
        </w:tc>
        <w:tc>
          <w:tcPr>
            <w:tcW w:w="5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216"/>
        </w:trPr>
        <w:tc>
          <w:tcPr>
            <w:tcW w:w="7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75"/>
        </w:trPr>
        <w:tc>
          <w:tcPr>
            <w:tcW w:w="10680" w:type="dxa"/>
            <w:vAlign w:val="bottom"/>
            <w:gridSpan w:val="21"/>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EE"/>
              </w:rPr>
              <w:t>Financial statements (unaudited)</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6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6040" w:type="dxa"/>
            <w:vAlign w:val="bottom"/>
            <w:tcBorders>
              <w:bottom w:val="single" w:sz="8" w:color="CCEEFF"/>
            </w:tcBorders>
            <w:gridSpan w:val="7"/>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5980" w:type="dxa"/>
            <w:vAlign w:val="bottom"/>
            <w:tcBorders>
              <w:bottom w:val="single" w:sz="8" w:color="CCEEFF"/>
            </w:tcBorders>
            <w:gridSpan w:val="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5"/>
        </w:trPr>
        <w:tc>
          <w:tcPr>
            <w:tcW w:w="10680" w:type="dxa"/>
            <w:vAlign w:val="bottom"/>
            <w:gridSpan w:val="21"/>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80" w:type="dxa"/>
            <w:vAlign w:val="bottom"/>
            <w:gridSpan w:val="21"/>
          </w:tcPr>
          <w:p>
            <w:pPr>
              <w:ind w:left="340"/>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680" w:type="dxa"/>
            <w:vAlign w:val="bottom"/>
            <w:gridSpan w:val="21"/>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Controls and procedures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06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 Other Information</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76"/>
        </w:trPr>
        <w:tc>
          <w:tcPr>
            <w:tcW w:w="98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80" w:type="dxa"/>
            <w:vAlign w:val="bottom"/>
            <w:gridSpan w:val="21"/>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1A.</w:t>
            </w:r>
            <w:r>
              <w:rPr>
                <w:rFonts w:ascii="Times New Roman" w:cs="Times New Roman" w:eastAsia="Times New Roman" w:hAnsi="Times New Roman"/>
                <w:sz w:val="18"/>
                <w:szCs w:val="18"/>
                <w:color w:val="0000EE"/>
              </w:rPr>
              <w:t>Risk factors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6"/>
        </w:trPr>
        <w:tc>
          <w:tcPr>
            <w:tcW w:w="10680" w:type="dxa"/>
            <w:vAlign w:val="bottom"/>
            <w:gridSpan w:val="21"/>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80" w:type="dxa"/>
            <w:vAlign w:val="bottom"/>
            <w:gridSpan w:val="21"/>
          </w:tcPr>
          <w:p>
            <w:pPr>
              <w:ind w:left="340"/>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Defaults upon senior securities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680" w:type="dxa"/>
            <w:vAlign w:val="bottom"/>
            <w:gridSpan w:val="21"/>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Mine safety disclosures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5"/>
        </w:trPr>
        <w:tc>
          <w:tcPr>
            <w:tcW w:w="980" w:type="dxa"/>
            <w:vAlign w:val="bottom"/>
            <w:tcBorders>
              <w:top w:val="single" w:sz="8" w:color="CCEEFF"/>
            </w:tcBorders>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70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8000" w:type="dxa"/>
            <w:vAlign w:val="bottom"/>
            <w:tcBorders>
              <w:top w:val="single" w:sz="8" w:color="CCEEFF"/>
            </w:tcBorders>
            <w:gridSpan w:val="12"/>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7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rPr>
              <w:t>TherapeuticsMD,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(in thousands, except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March 31,</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Royalty receivable,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3,525</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15,263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14,445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rights and other intangible assets,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receivable, long term</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13,713</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37,656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10,608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10,780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640,000 and 32,000 shares authorized, 11,574 and 11,574 issued and outstanding as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March 31, 2026 and December 31, 2025,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979,258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979,256</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(952,296)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(952,391)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26,973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26,876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37,656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TherapeuticsMD,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jc w:val="right"/>
              <w:ind w:right="101"/>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 net: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Write-off of patents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income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net of income taxes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(loss) per common share, basic and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 net</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share, basic and diluted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basic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11,552</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diluted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11,640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11,552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TherapeuticsMD,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30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30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Paid in</w:t>
            </w:r>
          </w:p>
        </w:tc>
        <w:tc>
          <w:tcPr>
            <w:tcW w:w="132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color w:val="auto"/>
                <w:w w:val="99"/>
              </w:rPr>
              <w:t>Accumulated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Capital</w:t>
            </w:r>
          </w:p>
        </w:tc>
        <w:tc>
          <w:tcPr>
            <w:tcW w:w="200" w:type="dxa"/>
            <w:vAlign w:val="bottom"/>
          </w:tcPr>
          <w:p>
            <w:pPr>
              <w:spacing w:after="0"/>
              <w:rPr>
                <w:sz w:val="19"/>
                <w:szCs w:val="19"/>
                <w:color w:val="auto"/>
              </w:rPr>
            </w:pPr>
          </w:p>
        </w:tc>
        <w:tc>
          <w:tcPr>
            <w:tcW w:w="112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color w:val="auto"/>
                <w:w w:val="99"/>
              </w:rPr>
              <w:t>Deficit</w:t>
            </w:r>
          </w:p>
        </w:tc>
        <w:tc>
          <w:tcPr>
            <w:tcW w:w="240" w:type="dxa"/>
            <w:vAlign w:val="bottom"/>
          </w:tcPr>
          <w:p>
            <w:pPr>
              <w:spacing w:after="0"/>
              <w:rPr>
                <w:sz w:val="19"/>
                <w:szCs w:val="19"/>
                <w:color w:val="auto"/>
              </w:rPr>
            </w:pPr>
          </w:p>
        </w:tc>
        <w:tc>
          <w:tcPr>
            <w:tcW w:w="9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2026</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979,256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(952,391)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240" w:type="dxa"/>
            <w:vAlign w:val="bottom"/>
          </w:tcPr>
          <w:p>
            <w:pPr>
              <w:spacing w:after="0"/>
              <w:rPr>
                <w:sz w:val="20"/>
                <w:szCs w:val="20"/>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979,258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(952,296</w:t>
            </w:r>
          </w:p>
        </w:tc>
        <w:tc>
          <w:tcPr>
            <w:tcW w:w="2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230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30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Paid in</w:t>
            </w:r>
          </w:p>
        </w:tc>
        <w:tc>
          <w:tcPr>
            <w:tcW w:w="132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color w:val="auto"/>
                <w:w w:val="99"/>
              </w:rPr>
              <w:t>Accumulated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Capital</w:t>
            </w:r>
          </w:p>
        </w:tc>
        <w:tc>
          <w:tcPr>
            <w:tcW w:w="200" w:type="dxa"/>
            <w:vAlign w:val="bottom"/>
          </w:tcPr>
          <w:p>
            <w:pPr>
              <w:spacing w:after="0"/>
              <w:rPr>
                <w:sz w:val="20"/>
                <w:szCs w:val="20"/>
                <w:color w:val="auto"/>
              </w:rPr>
            </w:pPr>
          </w:p>
        </w:tc>
        <w:tc>
          <w:tcPr>
            <w:tcW w:w="112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color w:val="auto"/>
                <w:w w:val="99"/>
              </w:rPr>
              <w:t>Deficit</w:t>
            </w:r>
          </w:p>
        </w:tc>
        <w:tc>
          <w:tcPr>
            <w:tcW w:w="240" w:type="dxa"/>
            <w:vAlign w:val="bottom"/>
          </w:tcPr>
          <w:p>
            <w:pPr>
              <w:spacing w:after="0"/>
              <w:rPr>
                <w:sz w:val="20"/>
                <w:szCs w:val="20"/>
                <w:color w:val="auto"/>
              </w:rPr>
            </w:pPr>
          </w:p>
        </w:tc>
        <w:tc>
          <w:tcPr>
            <w:tcW w:w="9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979,181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(951,822)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240" w:type="dxa"/>
            <w:vAlign w:val="bottom"/>
          </w:tcPr>
          <w:p>
            <w:pPr>
              <w:spacing w:after="0"/>
              <w:rPr>
                <w:sz w:val="20"/>
                <w:szCs w:val="20"/>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979,204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(952,475</w:t>
            </w:r>
          </w:p>
        </w:tc>
        <w:tc>
          <w:tcPr>
            <w:tcW w:w="2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TherapeuticsMD,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in thousands)</w:t>
      </w:r>
    </w:p>
    <w:p>
      <w:pPr>
        <w:spacing w:after="0" w:line="20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Loss from discontinued operations, net of taxes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continuing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Write-off patents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881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adjustments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continuing operating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discontinued operations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continuing operations, beginning of period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7,483</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5,059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TherapeuticsMD,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right="298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basis of presentation, new accounting standards and summary of significant accounting policies General</w:t>
      </w:r>
    </w:p>
    <w:p>
      <w:pPr>
        <w:ind w:right="60"/>
        <w:spacing w:after="0" w:line="254" w:lineRule="auto"/>
        <w:rPr>
          <w:sz w:val="20"/>
          <w:szCs w:val="20"/>
          <w:color w:val="auto"/>
        </w:rPr>
      </w:pPr>
      <w:r>
        <w:rPr>
          <w:rFonts w:ascii="Times New Roman" w:cs="Times New Roman" w:eastAsia="Times New Roman" w:hAnsi="Times New Roman"/>
          <w:sz w:val="18"/>
          <w:szCs w:val="18"/>
          <w:color w:val="auto"/>
        </w:rPr>
        <w:t>TherapeuticsMD, Inc., a Nevada corporation, and its consolidated subsidiaries are referred to collectively in this Quarterly Report on Form 10-Q (“10-Q Report”) as “TherapeuticsMD,” “we,” “our” and “us.” This 10-Q Report includes trademarks, trade names and service marks, such as TherapeuticsMD®, vitaMedMD®, BocaGreenMD®, IMVEXXY®, and BIJUVA®, which are protected under applicable intellectual property laws and are the property of, or licensed by or to, us. Solely for convenience, trademarks, trade names and service marks referred to in this 10-Q Report may appear without the ®, TM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TherapeuticsMD was previously a women’s healthcare company with a mission of creating and commercializing innovative products to support the lifespan of women from pregnancy prevention through menopause. In December 2022, we changed our business to become a pharmaceutical royalty company, currently receiving royalties on products licensed to pharmaceutical organizations that possess commercial capabilities in the relevant territories. On December 30, 2022 (the “Closing Date”), we completed a transaction (the “Mayne Transaction”) with Mayne Pharma LLC, a Delaware limited liability company (“Mayne Pharma”) and subsidiary of Mayne Pharma Group Limited, an Australian public company, in which we and our subsidiaries (i) granted Mayne Pharma an exclusive license to commercialize our IMVEXXY, BIJUVA and prescription prenatal vitamin products sold under the BocaGreenMD and vitaMedMD brands (collectively, the “Licensed Products”) in the United States and its possessions and territories, (ii) assigned to Mayne Pharma our exclusive license to commercialize ANNOVERA® (together with the Licensed Products, collectively, the “Products”) in the United States and its possessions and territories, and (iii) sold certain other assets to Mayne Pharma in connection therewith.</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 License Agreement, dated December 4, 2022, between TherapeuticsMD and Mayne Pharma (the “Mayne License Agreement”), we granted Mayne Pharma, on the Closing Date,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Mayne License Agreement, Mayne Pharma agreed to pay us one-time milestone payments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agreed to pay us royalties on net sales of all Products in the United States at a royalty rate of 8.0% on the first $80.0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will pay us minimum annual royalties of $3.0 million per year for 12 years, adjusted for inflation at an annual rate of 3%, subject to certain further adjustments, including as described below. Upon the expiry of the 20-year royalty term, the licenses granted to Mayne Pharma under the Mayne License Agreement will become a fully paid-up and royalty free license for the Licensed Products.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right="220"/>
        <w:spacing w:after="0" w:line="266" w:lineRule="auto"/>
        <w:rPr>
          <w:sz w:val="20"/>
          <w:szCs w:val="20"/>
          <w:color w:val="auto"/>
        </w:rPr>
      </w:pPr>
      <w:r>
        <w:rPr>
          <w:rFonts w:ascii="Times New Roman" w:cs="Times New Roman" w:eastAsia="Times New Roman" w:hAnsi="Times New Roman"/>
          <w:sz w:val="18"/>
          <w:szCs w:val="18"/>
          <w:color w:val="auto"/>
        </w:rPr>
        <w:t>Under the Transaction Agreement, dated December 4, 2022, between TherapeuticsMD and Mayne Pharma (the “Transaction Agreement”), we sold to Mayne Pharma, at closing, certain assets for Mayne Pharma to commercialize the Products in the United States, including, with the Population Council’s consent, our exclusive license from the Population Council to commercialize ANNOVERA (the “Transferred Assets”).</w:t>
      </w:r>
    </w:p>
    <w:p>
      <w:pPr>
        <w:spacing w:after="0" w:line="17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The total consideration from Mayne Pharma to TherapeuticsMD for the purchase of the Transferred Assets under the Transaction Agreement and the grant of the licenses under the Mayne License Agreement was (i) a cash payment of $140.0 million at closing, (ii) a cash payment of approximately $12.1 million at closing for the acquisition of net working capital as determined in accordance with the Transaction Agreement and subject to certain adjustments,</w:t>
      </w:r>
    </w:p>
    <w:p>
      <w:pPr>
        <w:spacing w:after="0" w:line="2" w:lineRule="exact"/>
        <w:rPr>
          <w:sz w:val="20"/>
          <w:szCs w:val="20"/>
          <w:color w:val="auto"/>
        </w:rPr>
      </w:pPr>
    </w:p>
    <w:p>
      <w:pPr>
        <w:ind w:right="380" w:firstLine="8"/>
        <w:spacing w:after="0" w:line="253"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of approximately $1.0 million at closing for prepaid royalties in connection with the Mayne License Agreement Amendment (as defined below) and (iv) the right to receive the contingent consideration set forth in the Mayne License Agreement, as amended. The acquisition of net working capital was determined in accordance with the Transaction Agreement and included significant estimates which could change materially for a period of up to two years following the Closing Date.</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the Closing Date, TherapeuticsMD and Mayne Pharma entered into Amendment No. 1 to the Mayne License Agreement (the “Mayne License Agreement Amendment”). Pursuant to the Mayne License Agreement Amendment, Mayne Pharma agreed to pay us approximately $1.0 million in prepaid royalties on the Closing Date. The prepaid royalties reduced the first four quarterly payments that would have otherwise been payable pursuant to the Mayne License Agreement by an amount equal to $257 thousand per quarterly royalty payment plus interest calculated at 19% per annum accruing from the Closing Date until the date such quarterly royalty payment was paid to us. We and Mayne Pharma settled the $1.5 million of consideration due to Mayne Pharma for the assumed obligations under a long-term services agreement, including our minimum payment obligations thereunder. As the parties agreed, during the second quarter of 2023 Mayne Pharma held back our royalty payment of $0.6 million and we funded an additional $0.9 million in August 2023 to settle the original $1.5 million payable.</w:t>
      </w:r>
    </w:p>
    <w:p>
      <w:pPr>
        <w:spacing w:after="0" w:line="19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As part of the transformation that included the Mayne License Agreement, all results associated with former commercial operations have been reflected as discontinued operations in our condensed consolidated financial statements. Assets and liabilities associated with the commercial business are classified as assets and liabilities of discontinued operations in our condensed consolidated balance sheets. Additional disclosures regarding discontinued operations are provided in Note 2 of our condensed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have license agreements with strategic partners to commercialize IMVEXXY and BIJUVA outside of the U.S.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2018, we entered into a license and supply agreement (the “Knight License Agreement”) with Knight Therapeutics Inc. (“Knight”) pursuant to which we granted Knight an exclusive license to commercialize IMVEXXY and BIJUVA in Canada and Israel. Knight obtained regulatory approval for IMVEXXY and BIJUVA and began commercialization efforts in 2024.</w:t>
      </w:r>
    </w:p>
    <w:p>
      <w:pPr>
        <w:spacing w:after="0" w:line="17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we entered into an exclusive license and supply agreement (the “Theramex License Agreement”) with Theramex HQ UK Limited (“Theramex”) to commercialize IMVEXXY and BIJUVA outside of the U.S., excluding Canada and Israel. In 2021, Theramex secured regulatory approval for BIJUVA in certain European countries and began commercialization efforts in those countries.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transferred the right to commercialize IMVEXXY and BIJUVA in Israel from Knight to Theramex.</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connection with our transformation into a pharmaceutical royalty company, the termination of our executive management team (except for Mr. Marlan Walker, our former General Counsel and current Chief Executive Officer) and all other employees was completed by December 31, 2022. Severance obligations for all employees other than executive officers were paid in full in January 2023 and severance obligations for terminated executive officers have been paid in accordance with their employment agreements and separation agreements as previously disclosed. As of March 31, 2026 and 2025, we employed one full-time employee primarily engaged in an executive position.</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engaged external consultants who support our relationship with current partners and assist with certain financial, IT, legal, and regulatory matters and the continued wind-down of our historical business operations. On August 15, 2023, we entered into a master services agreement with JZ Advisory Group, pursuant to which Joseph Ziegler serves as our Principal Financial and Accounting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Following the transaction with Mayne Pharma, our primary source of revenue is from royalties on products licensed to pharmaceutical organizations that possess commercial capabilities in the relevant territories. We may need to raise additional capital to provide additional liquidity to fund our operations. To address our capital needs, we may pursue various equity and debt financing and other alternatives. The equity financing alternatives may include the private placement of equity, equity-linked, or other similar instruments or obligations with one or more investors, lenders, or other institutional counterparties or an underwritten public equity or equity-linked securities offering. Our ability to sell equity securities may be limited by market conditions, including the market price of our common stock, and our available authorized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line="261"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such securities, the ownership interests of our existing stockholders will be diluted, and the terms of these new securities may include liquidation or other preferences that adversely affect the rights of our existing stockholders. If we are not successful in obtaining additional financing, we could be forced to discontinue or curtail our business operations, sell assets at unfavorable prices, or merge, consolidate, or combine with a company with greater financial resources in a transaction that might be unfavorable to us.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May 1, 2023, we entered into a Subscription Agreement (the “Subscription Agreement”) with Rubric Capital Management LP (“Rubric”), pursuant to which we agreed to sell to Rubric, or one or more of its affiliates, up to an aggregate of 5,000,000 shares of our common stock, par value $0.001 per share (our “Common Stock”), from time to time during the term of the Subscription Agreement in separate drawdowns at our election. On June 29, 2023, we issued and sold 312,525 shares of Common Stock at a price per share equal to $3.6797 pursuant to the Subscription Agreement. We received gross proceeds of $1.15 million from the draw-down, before expenses. On November 15, 2023, Rubric drew an additional 877,192 shares of Common Stock at a price per share equal to $2.2761. We received gross proceeds of $2.0 million from the draw-down, before expenses. There were no drawdowns in the first three months of 2026 and 2025.</w:t>
      </w:r>
    </w:p>
    <w:p>
      <w:pPr>
        <w:spacing w:after="0" w:line="18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February 2024, we received Mayne Pharma’s calculation of the net working capital allowances for payer rebates and wholesale distributor fees pursuant to the Transaction Agreement, which differed significantly from our estimate of the allowances. We continue to believe our estimated allowances for payer rebates and wholesale distributor fees are reasonable. In August 2024 and in February 2025, we also received information from Mayne Pharma pertaining to the net working capital allowance for returns that differs significantly from our estimate of the allowance.</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April 8, 2025, we filed a lawsuit against Mayne Pharma in the United States District Court for the District of Delaware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On April 6, 2026, we filed objections to certain of the magistrate judge’s recommendations.</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May 30, 2025, Mayne Pharma filed a lawsuit against us in the United States District Court for the District of Delaware (the “Mayne Countersuit” and, together with the Mayne Lawsuit, the “Mayne Lawsuits”) seeking damages for breach of contract and fraudulent inducement related to the Transaction Agreement. As part of the Mayne Countersuit, Mayne Pharma also made certain indemnification demands under the Transaction Agreement, which we dispute. On July 28, 2025, we filed a motion to dismiss the fraudulent inducement claim in the Mayne Countersuit. On March 23, 2026, a magistrate judge recommended that the court grant our motion to dismiss Mayne Pharma’s claim for fraudulent inducement, but recommended the court deny our motion to dismiss Mayne Pharma’s other claims. As of March 31, 2026, we believed no additional accrual was required for such claims, as we could not reasonably estimate a range of loss.</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outcome of this matter is uncertain at this point. As a result, we cannot reasonably estimate a range of loss, and accordingly, we have not accrued any additional liability associated with Mayne Pharma’s allowance calculation for payer rebates and wholesale distributor fees, particularly as we believe the outcome of this matter to be intertwined with the resolution of the net working capital allowance for returns.</w:t>
      </w:r>
    </w:p>
    <w:p>
      <w:pPr>
        <w:spacing w:after="0" w:line="176" w:lineRule="exact"/>
        <w:rPr>
          <w:sz w:val="20"/>
          <w:szCs w:val="20"/>
          <w:color w:val="auto"/>
        </w:rPr>
      </w:pPr>
    </w:p>
    <w:p>
      <w:pPr>
        <w:ind w:right="700"/>
        <w:spacing w:after="0" w:line="289" w:lineRule="auto"/>
        <w:rPr>
          <w:sz w:val="20"/>
          <w:szCs w:val="20"/>
          <w:color w:val="auto"/>
        </w:rPr>
      </w:pPr>
      <w:r>
        <w:rPr>
          <w:rFonts w:ascii="Times New Roman" w:cs="Times New Roman" w:eastAsia="Times New Roman" w:hAnsi="Times New Roman"/>
          <w:sz w:val="17"/>
          <w:szCs w:val="17"/>
          <w:color w:val="auto"/>
        </w:rPr>
        <w:t>As of March 31, 2026, we also believed no additional accrual was required for amounts that may be owed for the allowance for returns under the Transaction Agreement. We have not recorded any contingent gains or receivables for any such allowances. Management continues to monitor the unresolved and pending net working capital items as changes to estimated amounts owed or amounts due from Mayne Pharma may be material.</w:t>
      </w:r>
    </w:p>
    <w:p>
      <w:pPr>
        <w:spacing w:after="0" w:line="1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Mayne Pharma has also made certain indemnification demands under the Transaction Agreement, which we dispute. As of March 31, 2026, we believed no additional accrual was required for such claims, as we could not reasonably estimate a range of loss.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20"/>
        <w:spacing w:after="0" w:line="256" w:lineRule="auto"/>
        <w:rPr>
          <w:sz w:val="20"/>
          <w:szCs w:val="20"/>
          <w:color w:val="auto"/>
        </w:rPr>
      </w:pPr>
      <w:r>
        <w:rPr>
          <w:rFonts w:ascii="Times New Roman" w:cs="Times New Roman" w:eastAsia="Times New Roman" w:hAnsi="Times New Roman"/>
          <w:sz w:val="18"/>
          <w:szCs w:val="18"/>
          <w:color w:val="auto"/>
        </w:rPr>
        <w:t>If Mayne Pharma’s sales of Licensed Products grow more slowly than expected or decline, including as a result of Mayne Pharma Group’s potential sale to Cosette Pharmaceuticals, Inc., if the net working capital settlement with Mayne Pharma under the Transaction Agreement is greater than our current estimates, if the outcome of the Mayne Lawsuits is worse than we anticipate, if we are unsuccessful with future financings or the supply chains related to the third-party contract manufacturers are worse than we anticipate, our existing cash reserves may be insufficient to satisfy our liquidity requirements. The potential impact of these factors in conjunction with the uncertainty of the capital markets raises substantial doubt about our ability to continue as a going concern for the next twelve months from the issuance of these financial statements.</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do not include any adjustments that might be necessary if we are unable to continue as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prepared the condensed consolidated financial statements included in this 10-Q Report following the requirements of the United States (“U.S.”) Securities and Exchange Commission (“SEC”) for interim reporting. As permitted under those rules, certain notes or other financial information that are normally required by accounting principles generally accepted in the U.S. (“U.S. GAAP”) for complete financial statements can be condensed or omitted. However, except as disclosed herein, there has been no material change in the information disclosed in the notes included in our 2025 Annual Report on Form 10-K/A, filed with the SEC on April 1, 2026 (the “2025 10-K/A Report”).</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part of the transformation as a result of the Mayne Transaction, all results associated with former commercial operations have been reflected as discontinued operations in the condensed consolidated financial statements. Assets and liabilities associated with the commercial business are classified as assets and liabilities of discontinued operations in the condensed consolidated balance sheets. Additional disclosures regarding discontinued operations are provided in Note 2 of the condensed consolidated financial statements.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Revenues, expenses, assets, liabilities, and equities can vary during each quarter of the year. Therefore, the results and trends in these interim financial statements may not be representative of those for the full year. In our opinion, all adjustments necessary for a fair presentation of the financial statements, which are of a normal and recurring nature, have been made for the interim periods reported. The information included in this 10-Q Report should be read in conjunction with the consolidated financial statements and accompanying notes included in our 2025 10-K/A Report. Certain amounts in the condensed consolidated financial statements and accompanying notes may not add due to rounding, and all percentages have been calculated using unrounded amounts. Certain prior period amounts have been revised and reclassified to conform to current-period presentation and are not material to the consolidated financial statements. These revisions and reclassifications primarily relate to the presentation of sublease income and the separate presentation of interest income and interest expense. These reclassifications had no effect on previously reported net loss or per share amounts.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 – Adopted During the Fiscal Year</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As of March 31, 2026, we have adopted the Financial Accounting Standards Board (“FASB”) issued Accounting Standards Update (“ASU”) No. 2025-05, </w:t>
      </w:r>
      <w:r>
        <w:rPr>
          <w:rFonts w:ascii="Times New Roman" w:cs="Times New Roman" w:eastAsia="Times New Roman" w:hAnsi="Times New Roman"/>
          <w:sz w:val="18"/>
          <w:szCs w:val="18"/>
          <w:i w:val="1"/>
          <w:iCs w:val="1"/>
          <w:color w:val="auto"/>
        </w:rPr>
        <w:t xml:space="preserve">“Financial Instruments-Credit Losses (Topic 326): Measurement of Credit Losses for Accounts Receivable and Contract Assets.” </w:t>
      </w:r>
      <w:r>
        <w:rPr>
          <w:rFonts w:ascii="Times New Roman" w:cs="Times New Roman" w:eastAsia="Times New Roman" w:hAnsi="Times New Roman"/>
          <w:sz w:val="18"/>
          <w:szCs w:val="18"/>
          <w:color w:val="auto"/>
        </w:rPr>
        <w:t>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adoption of ASU 2025-05, we elected the practical expedient which allows entities to assume that the current conditions applied in determining credit loss allowances remain unchanged for the remaining life of those assets. We applied this guidance prospectively, and the adoption did not have a material impact on our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 Not Yet Adopted</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(Topic 220): Disaggregation of Income Statement Expenses.” The ASU requires additional disclosures by disaggregating the costs and expense line items that are presented on the face of the income statement. The disaggregation includes: (i) amounts of purchased inventory, employee compensation, depreciation, amortization, and other related costs and expenses; (ii) an explanation of costs and expenses that are not disaggregated on a quantitative basis; and (iii) the definition and total amount of selling expenses. ASU No. 2024-03 is effective for our Annual Report on Form 10-K beginning in 2027 and subsequent interim reports. Early adoption is permitted. The ASU should be applied prospectively. Retrospective application is permitted for all prior periods presented in the financial statements. We are evaluating the impact of ASU No. 2024-03 on our financial reporting disclosures.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Narrow-Scope Improvements.” ASU No. 2025-11 has three primary objectives: to specify the form and content choices for interim financial statements and accompanying notes; to incorporate a comprehensive list of required interim disclosures; and to introduce a disclosure principle requiring entities to disclose events since the end of the previous annual reporting period that have a material impact on the entity. The amendments are not intended to change the fundamental nature of interim reporting or expand or reduce current interim disclosure requirements. The requirements of ASU No. 2025-11 are effective for public business entities for interim reporting periods within annual reporting periods beginning after December 15, 2027. Early adoption is permitted. The amendments may be applied either prospectively or retrospectively. For us, the requirements of ASU No. 2025-11 will be effective beginning in the first quarter of 2028. We do not expect a material change as a result of ASU No. 2025-11.</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Estimates and assumptions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U.S. GAAP requires us to make certain estimates and assumptions that affect the reported amounts of assets and liabilities, disclosure of contingent assets and liabilities at the date of the condensed consolidated financial statements and the reported amounts of revenue and expenses during the reporting periods. We evaluate our estimates and assumptions based on historical experience and on various other assumptions that are believed to be reasonable, the results of which form the basis for making judgments about the carrying values of assets and liabilities that are not readily apparent from other sources. Actual results may differ, at times in material amounts, from these estimates under different assumptions or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we use for quarterly financial reporting are disclosed in Note 1 of the notes to the consolidated financial statements included in our 2025 10-K/A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discussed in Note 1, we changed our business in 2022 by licensing our products to receive royalties and future sales related milestone payments, after granting an exclusive license to commercialize our IMVEXXY, BIJUVA, and prescription prenatal vitamin products sold under the BocaGreenMD and vitaMedMD brands in the United States and assigning our exclusive license to commercialize ANNOVERA to Mayne Pharma.</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This plan represented a strategic shift having a major effect on our operations and financial results. Upon our conversion from a commercial pharmaceutical company to a licensing only company with the consummation of the Mayne Transaction, we classified all direct revenues, costs and expenses related to commercial operations, within income (loss) from discontinued operations, net of tax, in the condensed consolidated statements of operations for all periods presented. We have not allocated any amounts for shared general and administrative operating support expense to discontinued operations.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the related liabilities have been reported as liabilities of discontinued operations in our condensed consolidated balance sheets as of March 31, 2026 and December 31, 2025.</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described in Note 1, the acquisition of net working capital by Mayne Pharma was determined in accordance with the Transaction Agreement and included significant estimates which could change materially for a period of up to two years following the Closing Date. Our estimate of net working capital at closing was determined in accordance with the Transaction Agreement which establishes the process for the determination of final net working capital. Refer to Note 6 for a further discussion of net working capital contingencies.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results of discontinued operations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560" w:type="dxa"/>
            <w:vAlign w:val="bottom"/>
            <w:gridSpan w:val="6"/>
          </w:tcPr>
          <w:p>
            <w:pPr>
              <w:jc w:val="right"/>
              <w:ind w:right="101"/>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tcPr>
          <w:p>
            <w:pPr>
              <w:spacing w:after="0"/>
              <w:rPr>
                <w:sz w:val="20"/>
                <w:szCs w:val="20"/>
                <w:color w:val="auto"/>
              </w:rPr>
            </w:pPr>
          </w:p>
        </w:tc>
        <w:tc>
          <w:tcPr>
            <w:tcW w:w="390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9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39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from discontinued operations</w:t>
            </w:r>
          </w:p>
        </w:tc>
        <w:tc>
          <w:tcPr>
            <w:tcW w:w="3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39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4740" w:type="dxa"/>
            <w:vAlign w:val="bottom"/>
            <w:gridSpan w:val="2"/>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390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1" w:name="page12"/>
    <w:bookmarkEnd w:id="11"/>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amounts of the classes of liabilities of discontinued operations as of March 31, 2026 and December 31, 2025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31,</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1"/>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Prepaid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prepaid and other current assets consisted of the following as of March 31, 2026 and December 31, 2025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31,</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legal</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receivable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Licensed rights and 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information about our license rights and other intangible assets, net as of March 31, 2026 and December 31, 2025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March 31, 2026</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December 31, 2025</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Carrying</w:t>
            </w:r>
          </w:p>
        </w:tc>
        <w:tc>
          <w:tcPr>
            <w:tcW w:w="16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Carrying</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Amount</w:t>
            </w:r>
          </w:p>
        </w:tc>
        <w:tc>
          <w:tcPr>
            <w:tcW w:w="16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Amount</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Hormone therapy drug patents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5,695</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5,695</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Hormone therapy drug patents applied and pending approval</w:t>
            </w:r>
          </w:p>
        </w:tc>
        <w:tc>
          <w:tcPr>
            <w:tcW w:w="1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Trademarks/trade name rights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License rights and other intangible assets, net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60" w:type="dxa"/>
            <w:vAlign w:val="bottom"/>
          </w:tcPr>
          <w:p>
            <w:pPr>
              <w:spacing w:after="0"/>
              <w:rPr>
                <w:sz w:val="20"/>
                <w:szCs w:val="20"/>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6,184</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recorded in continuing operations amortization expenses related to patents of $94 thousand and $95 thousand for the three months ended March 31, 2026 and 2025, respectively.</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conduct regular reviews of our individual patents and patent portfolios. No indicators of impairment were identified, and accordingly, no write-offs were recognized for the three months ended March 31, 2026. In comparison, we recorded write-offs of $88 thousand related to patents pending approval during the three months ended March 31,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Our intangible assets subject to amortization are expected to be amortized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2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gridSpan w:val="2"/>
          </w:tcPr>
          <w:p>
            <w:pPr>
              <w:jc w:val="right"/>
              <w:ind w:right="3900"/>
              <w:spacing w:after="0"/>
              <w:rPr>
                <w:sz w:val="20"/>
                <w:szCs w:val="20"/>
                <w:color w:val="auto"/>
              </w:rPr>
            </w:pPr>
            <w:r>
              <w:rPr>
                <w:rFonts w:ascii="Times New Roman" w:cs="Times New Roman" w:eastAsia="Times New Roman" w:hAnsi="Times New Roman"/>
                <w:sz w:val="18"/>
                <w:szCs w:val="18"/>
                <w:color w:val="auto"/>
              </w:rPr>
              <w:t>Year ending December 31,</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7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7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r>
      <w:tr>
        <w:trPr>
          <w:trHeight w:val="237"/>
        </w:trPr>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74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Borders>
              <w:bottom w:val="single" w:sz="8" w:color="CCEEFF"/>
            </w:tcBorders>
          </w:tcPr>
          <w:p>
            <w:pPr>
              <w:spacing w:after="0"/>
              <w:rPr>
                <w:sz w:val="20"/>
                <w:szCs w:val="20"/>
                <w:color w:val="auto"/>
              </w:rPr>
            </w:pPr>
          </w:p>
        </w:tc>
      </w:tr>
      <w:tr>
        <w:trPr>
          <w:trHeight w:val="25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3,178</w:t>
            </w:r>
          </w:p>
        </w:tc>
      </w:tr>
      <w:tr>
        <w:trPr>
          <w:trHeight w:val="21"/>
        </w:trPr>
        <w:tc>
          <w:tcPr>
            <w:tcW w:w="272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and other current liabilities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Payroll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09" w:lineRule="exact"/>
        <w:rPr>
          <w:sz w:val="20"/>
          <w:szCs w:val="20"/>
          <w:color w:val="auto"/>
        </w:rPr>
      </w:pPr>
    </w:p>
    <w:p>
      <w:pPr>
        <w:ind w:right="5280" w:firstLine="8"/>
        <w:spacing w:after="0" w:line="532" w:lineRule="auto"/>
        <w:tabs>
          <w:tab w:leader="none" w:pos="18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Mayne Pharma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31,</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r>
      <w:tr>
        <w:trPr>
          <w:trHeight w:val="198"/>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379</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975</w:t>
            </w:r>
          </w:p>
        </w:tc>
      </w:tr>
      <w:tr>
        <w:trPr>
          <w:trHeight w:val="234"/>
        </w:trPr>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0" w:type="dxa"/>
            <w:vAlign w:val="bottom"/>
          </w:tcPr>
          <w:p>
            <w:pPr>
              <w:spacing w:after="0"/>
              <w:rPr>
                <w:sz w:val="21"/>
                <w:szCs w:val="2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061" w:lineRule="exact"/>
        <w:rPr>
          <w:sz w:val="20"/>
          <w:szCs w:val="20"/>
          <w:color w:val="auto"/>
        </w:rPr>
      </w:pPr>
    </w:p>
    <w:p>
      <w:pPr>
        <w:sectPr>
          <w:pgSz w:w="11900" w:h="16838" w:orient="portrait"/>
          <w:cols w:equalWidth="0" w:num="2">
            <w:col w:w="7960" w:space="720"/>
            <w:col w:w="2560"/>
          </w:cols>
          <w:pgMar w:left="320" w:top="337" w:right="339" w:bottom="1440" w:gutter="0" w:footer="0" w:header="0"/>
          <w:type w:val="continuous"/>
        </w:sect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Mayne Pharma paid us approximately $12.1 million at closing on December 30, 2022, for the acquisition of net working capital, subject to certain adjustments as determined in accordance with the Transaction Agreement. While the Transaction Agreement calls for much of the net working capital to be trued-up shortly after the Closing Date in 2023, for a period of one year following the Closing Date in the case of payer rebates and wholesale distributor fees and two years following the Closing Date in the case for allowance for returns, net working capital amounts will be adjusted to arrive at final net working capital under the Transaction Agreement.</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September 2023, we increased certain accrual estimates including increasing our working capital adjustment accrual by $2.0 million for amounts anticipated to be owed under the Transaction Agreement. In December 2023, we made a $5.5 million payment to Mayne Pharma to settle certain working capital amounts that were required to be trued-up shortly after the Closing Date, excluding the allowance for returns, allowance for payer rebates, and allowance for wholesale distributor fees. Of the $5.5 million, $2.0 million increased the allowance for net working capital allowances remaining to be trued up.</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 w:name="page14"/>
    <w:bookmarkEnd w:id="13"/>
    <w:p>
      <w:pPr>
        <w:ind w:right="40"/>
        <w:spacing w:after="0" w:line="256" w:lineRule="auto"/>
        <w:rPr>
          <w:sz w:val="20"/>
          <w:szCs w:val="20"/>
          <w:color w:val="auto"/>
        </w:rPr>
      </w:pPr>
      <w:r>
        <w:rPr>
          <w:rFonts w:ascii="Times New Roman" w:cs="Times New Roman" w:eastAsia="Times New Roman" w:hAnsi="Times New Roman"/>
          <w:sz w:val="18"/>
          <w:szCs w:val="18"/>
          <w:color w:val="auto"/>
        </w:rPr>
        <w:t>Our estimate of the allowance for payer rebates and wholesale distributor fees was determined in accordance with the Transaction Agreement which establishes the process for the determination of net working capital. In February 2024, we received Mayne Pharma’s calculation of the net working capital allowances for payer rebates and wholesale distributor fees pursuant to the Transaction Agreement, which differed significantly from our estimate of the allowances. We continue to believe our estimated allowances for payer rebates and wholesale distributor fees are reasonable. In August 2024 and in February 2025, we also received information from Mayne Pharma pertaining to the net working capital allowance for returns that differs significantly from our estimate of the allowance.</w:t>
      </w:r>
    </w:p>
    <w:p>
      <w:pPr>
        <w:spacing w:after="0" w:line="18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On April 8, 2025, we filed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 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On April 6, 2026, we filed objections to certain of the magistrate judge’s recommendations.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30, 2025, Mayne Pharma filed the Mayne Countersuit seeking damages for breach of contract and fraudulent inducement related to the Transaction Agreement. On July 28, 2025, we filed a motion to dismiss the Mayne Countersuit. On March 23, 2026, a magistrate judge recommended that the court grant our motion to dismiss Mayne Pharma’s claim for fraudulent inducement, but recommended the court deny our motion to dismiss Mayne Pharma’s other claims. As of March 31, 2026, we believed no additional accrual was required for such claims, as we could not reasonably estimate a range of loss.</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outcome of this matter is uncertain at this point. As a result, we cannot reasonably estimate a range of loss, and accordingly, we have not accrued any additional liability associated with Mayne Pharma’s allowance calculation for payer rebates and wholesale distributor fees, particularly as we believe the outcome of this matter to be intertwined with the resolution of the net working capital allowance for returns.</w:t>
      </w:r>
    </w:p>
    <w:p>
      <w:pPr>
        <w:spacing w:after="0" w:line="176" w:lineRule="exact"/>
        <w:rPr>
          <w:sz w:val="20"/>
          <w:szCs w:val="20"/>
          <w:color w:val="auto"/>
        </w:rPr>
      </w:pPr>
    </w:p>
    <w:p>
      <w:pPr>
        <w:ind w:right="680"/>
        <w:spacing w:after="0" w:line="289" w:lineRule="auto"/>
        <w:rPr>
          <w:sz w:val="20"/>
          <w:szCs w:val="20"/>
          <w:color w:val="auto"/>
        </w:rPr>
      </w:pPr>
      <w:r>
        <w:rPr>
          <w:rFonts w:ascii="Times New Roman" w:cs="Times New Roman" w:eastAsia="Times New Roman" w:hAnsi="Times New Roman"/>
          <w:sz w:val="17"/>
          <w:szCs w:val="17"/>
          <w:color w:val="auto"/>
        </w:rPr>
        <w:t>As of March 31, 2026, we also believed no additional accrual was required for amounts that may be owed for the allowance for returns under the Transaction Agreement. We have not recorded any contingent gains or receivables for any such allowances. Management continues to monitor the unresolved and pending net working capital items as changes to estimated amounts owed or amounts due from Mayne Pharma may be material.</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Mayne Pharma has also made certain indemnification demands under the Transaction Agreement, which we dispute. As of March 31, 2026, we believed no additional accrual was required for such claims, as we could not reasonably estimate a range of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February 2020, we received a Paragraph IV certification notice letter (the “IMVEXXY Notice Letter”) regarding an Abbreviated New Drug Application (“ANDA”) submitted to the FDA by Teva Pharmaceuticals USA, Inc. (“Teva”). The ANDA seeks approval from the FDA to commercially manufacture, use, or sell a generic version of the 4 mcg and 10 mcg doses of IMVEXXY. In the IMVEXXY Notice Letter, Teva alleges that TherapeuticsMD patents listed in the FDA’s Orange Book that claim compositions and methods of IMVEXXY (the “IMVEXXY Patents”) are invalid, unenforceable, and/or will not be infringed by Teva’s commercial manufacture, use, or sale of its proposed generic drug product. The IMVEXXY Patents identified in the IMVEXXY Notice Letter expire in 2032 or 2033. In April 2020, we filed a complaint for patent infringement against Teva in the United States District Court for the District of New Jersey arising from Teva’s ANDA filing with the FDA. We are seeking, among other relief, an order that the effective date of any FDA approval of Teva’s ANDA would be a date no earlier than the expiration of the IMVEXXY Patents and equitable relief enjoining Teva from infringing the IMVEXXY Patents. Teva has filed its answer and counterclaim to the complaint, alleging that the IMVEXXY Patents are invalid and not infringed. In July 2021, following a proposal by Teva, the District Court entered an order temporarily staying all proceedings in the IMVEXXY litigation, which order was filed under seal. In September 2021, the District Court made available a public version of the order following the parties’ agreement to a consent motion to redact information Teva contended was confidential. The order provides that the statutory stay that prevents the FDA from granting final approval of the ANDA for 30 months from the date of the IMVEXXY Notice Letter will be extended for the number of days that the stay of the IMVEXXY litigation is in place. In November 2024, the court lifted the stay. We have incurred and recorded legal costs amounting to $2,334 thousand in prepaid expenses and other current assets as of March 31, 2026, for the IMVEXXY Paragraph IV legal proceeding since we believe that we will successfully prevail in this legal proceeding. Upon the successful conclusion of the legal proceeding, the related capitalized legal costs will be reclassified to patents, in license rights and other intangible assets, net, in the accompanying condensed consolidated balance sheets, and such costs will be amortized over the remaining useful life of the patents. If Mayne Pharma is unsuccessful in this legal proceeding, then the related capitalized legal costs for this legal preceding and any unamortized IMVEXXY patent costs that were previously capitalized will be immediately expensed in the period in which we become aware of an unsuccessful legal proceeding.</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 w:name="page15"/>
    <w:bookmarkEnd w:id="14"/>
    <w:p>
      <w:pPr>
        <w:spacing w:after="0" w:line="253" w:lineRule="auto"/>
        <w:rPr>
          <w:sz w:val="20"/>
          <w:szCs w:val="20"/>
          <w:color w:val="auto"/>
        </w:rPr>
      </w:pPr>
      <w:r>
        <w:rPr>
          <w:rFonts w:ascii="Times New Roman" w:cs="Times New Roman" w:eastAsia="Times New Roman" w:hAnsi="Times New Roman"/>
          <w:sz w:val="18"/>
          <w:szCs w:val="18"/>
          <w:color w:val="auto"/>
        </w:rPr>
        <w:t>In June 2024, Mayne Pharma received a Paragraph IV certification notice letter (the “Sun Notice Letter”) regarding an ANDA submitted to the FDA by Sun Pharma Inc. (“Sun Pharma”). The ANDA seeks approval from the FDA to commercially manufacture, use, or sell a generic version of the 4 mcg and 10 mcg doses of IMVEXXY. In the Sun Notice Letter, Sun Pharma alleges that the IMVEXXY Patents are invalid, unenforceable, and/or will not be infringed by Sun Pharma’s commercial manufacture, use, or sale of its proposed generic drug product. The IMVEXXY Patents identified in the Sun Notice Letter expire in 2032 or 2033. In July 2024, we and Mayne Pharma filed a complaint for patent infringement against Sun Pharma in the United States District Court for the District of New Jersey arising from Sun Pharma’s ANDA filing with the FDA. We are seeking, among other relief, an order that the effective date of any FDA approval of Sun Pharma’s ANDA would be a date no earlier than the expiration of the IMVEXXY Patents and equitable relief enjoining Sun Pharma from infringing the IMVEXXY Patents. As of March 31, 2026, the litigation remains ongoing and has progressed to claim construction, which the courts determine the meaning and scope of the asserted patent claims that will govern subsequent infringement and validity analysis.</w:t>
      </w:r>
    </w:p>
    <w:p>
      <w:pPr>
        <w:spacing w:after="0" w:line="1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Beginning on December 30, 2022 and per the Mayne License Agreement, Mayne Pharma is responsible for all enforcement of our patents, including the responsibility for and costs of litigation discussed above with respect to Teva and Sun Pharma.</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April 8, 2025, we filed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We are seeking, among other relief, money damages for all of Mayne Pharma’s profits arising from their unlawful conduct and for any injury sustained by us as a result of Mayne Pharma’s unlawful conduct. On June 20, 2025, we filed an amended complaint against Mayne Pharma and on July 22, 2025, Mayne Pharma filed a motion to dismiss the Mayne Lawsuit. 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On April 6, 2026, we filed objections to certain of the magistrate judge’s recommendations.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30, 2025, Mayne Pharma filed the Mayne Countersuit seeking damages for breach of contract and fraudulent inducement related to the Transaction Agreement. On July 28, 2025, we filed a motion to dismiss the Mayne Countersuit. On March 23, 2026, a magistrate judge recommended that the court grant our motion to dismiss Mayne Pharma’s claim for fraudulent inducement, but recommended the court deny our motion to dismiss Mayne Pharma’s other claims. As of March 31, 2026, we believed no additional accrual was required for such claims, as we could not reasonably estimate a range of loss.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other litigations and proceedings in the ordinary course of business. We are currently not involved in any other litigations and proceedings that we believe would have a material effect on our condensed consolidated financial condition, results of operations, or cash flows.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there were no off-balance sheet arrangements that have had or are reasonably likely to have current or future effects on our financial condition, changes in financial condition, revenues or expenses, results of operations, liquidity, capital expenditures or capital resources that we consider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our transformation into a pharmaceutical royalty company, the termination of our executive management team (except for Mr. Marlan Walker, our former General Counsel and current Chief Executive Officer) and all other employees was completed by December 30, 2022. Severance obligations for all employees other than executive officers were paid in full in the first quarter of 2023, and severance obligations for executive officers were paid out by the end of the first quarter of 2025. As of March 31, 2026, we employed one full-time employee primarily engaged in an executive position. We have engaged external consultants who support our relationship with current partners and assist with certain financial, IT, legal, and regulatory matters and the continued wind-down of our historical business operations.</w:t>
      </w:r>
    </w:p>
    <w:p>
      <w:pPr>
        <w:spacing w:after="0" w:line="183" w:lineRule="exact"/>
        <w:rPr>
          <w:sz w:val="20"/>
          <w:szCs w:val="20"/>
          <w:color w:val="auto"/>
        </w:rPr>
      </w:pPr>
    </w:p>
    <w:p>
      <w:pPr>
        <w:ind w:right="9460" w:firstLine="8"/>
        <w:spacing w:after="0" w:line="503"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Warrants</w:t>
      </w: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March 31, 2026, the following table summarizes the status of our outstanding and exercisable warrants and related transactions since December 31, 2025 (in thousands, except weighted average exercise price and weighted average remaining contractual life data):</w:t>
      </w:r>
    </w:p>
    <w:p>
      <w:pPr>
        <w:spacing w:after="0" w:line="17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Warrants outstanding and exercisable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gridSpan w:val="2"/>
          </w:tcPr>
          <w:p>
            <w:pPr>
              <w:spacing w:after="0"/>
              <w:rPr>
                <w:sz w:val="17"/>
                <w:szCs w:val="17"/>
                <w:color w:val="auto"/>
              </w:rPr>
            </w:pPr>
          </w:p>
        </w:tc>
      </w:tr>
      <w:tr>
        <w:trPr>
          <w:trHeight w:val="216"/>
        </w:trPr>
        <w:tc>
          <w:tcPr>
            <w:tcW w:w="6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6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Remaining</w:t>
            </w:r>
          </w:p>
        </w:tc>
      </w:tr>
      <w:tr>
        <w:trPr>
          <w:trHeight w:val="216"/>
        </w:trPr>
        <w:tc>
          <w:tcPr>
            <w:tcW w:w="6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Aggregate</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Contractual</w:t>
            </w:r>
          </w:p>
        </w:tc>
      </w:tr>
      <w:tr>
        <w:trPr>
          <w:trHeight w:val="216"/>
        </w:trPr>
        <w:tc>
          <w:tcPr>
            <w:tcW w:w="6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Exercise</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Intrinsic</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Life</w:t>
            </w:r>
          </w:p>
        </w:tc>
      </w:tr>
      <w:tr>
        <w:trPr>
          <w:trHeight w:val="241"/>
        </w:trPr>
        <w:tc>
          <w:tcPr>
            <w:tcW w:w="6420" w:type="dxa"/>
            <w:vAlign w:val="bottom"/>
          </w:tcPr>
          <w:p>
            <w:pPr>
              <w:spacing w:after="0"/>
              <w:rPr>
                <w:sz w:val="20"/>
                <w:szCs w:val="20"/>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3"/>
              </w:rPr>
              <w:t>Warrants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Price</w:t>
            </w: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6"/>
              </w:rPr>
              <w:t>(in Years)</w:t>
            </w:r>
          </w:p>
        </w:tc>
      </w:tr>
      <w:tr>
        <w:trPr>
          <w:trHeight w:val="236"/>
        </w:trPr>
        <w:tc>
          <w:tcPr>
            <w:tcW w:w="6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84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84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r>
      <w:tr>
        <w:trPr>
          <w:trHeight w:val="20"/>
        </w:trPr>
        <w:tc>
          <w:tcPr>
            <w:tcW w:w="6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payment plans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105,212 shares of common stock were subject to outstanding awards under our share-based payment award plans and inducement grants. As of March 31, 2026, 429,529 shares of common stock were available for future grants of share-based payment awards under the TherapeuticsMD, Inc. 2019 Stock Incentive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status of our outstanding and exercisable options and related transactions since December 31, 2025 (in thousands, except weighted average exercise price and weighted average remaining contractual life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8"/>
                <w:szCs w:val="18"/>
                <w:color w:val="auto"/>
              </w:rPr>
              <w:t>Outstanding</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8"/>
                <w:szCs w:val="18"/>
                <w:color w:val="auto"/>
              </w:rPr>
              <w:t>Exercisable</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Weighted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Average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Remaining</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Aggregate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Remaining</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5"/>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Aggregate</w:t>
            </w: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Contractual</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Options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Exercise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Intrinsic</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Contractual</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Exercise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Intrinsic</w:t>
            </w: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Life</w:t>
            </w:r>
          </w:p>
        </w:tc>
        <w:tc>
          <w:tcPr>
            <w:tcW w:w="0" w:type="dxa"/>
            <w:vAlign w:val="bottom"/>
          </w:tcPr>
          <w:p>
            <w:pPr>
              <w:spacing w:after="0"/>
              <w:rPr>
                <w:sz w:val="1"/>
                <w:szCs w:val="1"/>
                <w:color w:val="auto"/>
              </w:rPr>
            </w:pPr>
          </w:p>
        </w:tc>
      </w:tr>
      <w:tr>
        <w:trPr>
          <w:trHeight w:val="241"/>
        </w:trPr>
        <w:tc>
          <w:tcPr>
            <w:tcW w:w="120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Awards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Life (in Years)</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Awards</w:t>
            </w:r>
          </w:p>
        </w:tc>
        <w:tc>
          <w:tcPr>
            <w:tcW w:w="16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6"/>
              </w:rPr>
              <w:t>(in Years)</w:t>
            </w:r>
          </w:p>
        </w:tc>
        <w:tc>
          <w:tcPr>
            <w:tcW w:w="0" w:type="dxa"/>
            <w:vAlign w:val="bottom"/>
          </w:tcPr>
          <w:p>
            <w:pPr>
              <w:spacing w:after="0"/>
              <w:rPr>
                <w:sz w:val="1"/>
                <w:szCs w:val="1"/>
                <w:color w:val="auto"/>
              </w:rPr>
            </w:pPr>
          </w:p>
        </w:tc>
      </w:tr>
      <w:tr>
        <w:trPr>
          <w:trHeight w:val="184"/>
        </w:trPr>
        <w:tc>
          <w:tcPr>
            <w:tcW w:w="120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as of</w:t>
            </w: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31, 2025</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continue"/>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74.04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continue"/>
            <w:shd w:val="clear" w:color="auto" w:fill="CCEEFF"/>
          </w:tcPr>
          <w:p>
            <w:pPr>
              <w:spacing w:after="0"/>
              <w:rPr>
                <w:sz w:val="23"/>
                <w:szCs w:val="23"/>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120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Balance, as of</w:t>
            </w: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73.17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status of our RSUs and related transactions since December 31, 2025 (in thousands, except weighted average grant date fair value):</w:t>
      </w:r>
    </w:p>
    <w:p>
      <w:pPr>
        <w:spacing w:after="0" w:line="175"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RSUs awards outstanding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20"/>
              <w:spacing w:after="0" w:line="205" w:lineRule="exact"/>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Aggregate</w:t>
            </w:r>
          </w:p>
        </w:tc>
      </w:tr>
      <w:tr>
        <w:trPr>
          <w:trHeight w:val="216"/>
        </w:trPr>
        <w:tc>
          <w:tcPr>
            <w:tcW w:w="7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Grant Date</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41"/>
        </w:trPr>
        <w:tc>
          <w:tcPr>
            <w:tcW w:w="7320" w:type="dxa"/>
            <w:vAlign w:val="bottom"/>
          </w:tcPr>
          <w:p>
            <w:pPr>
              <w:spacing w:after="0"/>
              <w:rPr>
                <w:sz w:val="20"/>
                <w:szCs w:val="20"/>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RSUs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Fair Value</w:t>
            </w: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1.15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88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there were no outstanding PSUs remaining.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Share-based payment compensation cost</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Share-based payment compensation expense for PSUs is based on 100% vesting which was a part of the termination benefits for all employees who were terminated in 2022. We recorded share-based payment award compensation costs related to previously issued options, RSU and PSUs totaling $2 and $23 thousand for the three months ended March 31, 2026 and 2025, respectively.</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unrecognized compensation costs as of March 31, 2026 of $25 thousand are expected to be recognized as share-based payment award compensation related to unvested RSUs over a weighted average period of 2.6 years. No tax benefit was realized due to a continued pattern of net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Mayne License Agreement, we granted Mayne Pharma, on the Closing Date,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Pursuant to the Mayne License Agreement, Mayne Pharma will make one-time, milestone payments to us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will pay to us royalties on net sales of all Products in the United States at a royalty rate of 8.0% on the first $80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will pay to us minimum annual royalties of $3.0 million per year for 12 years, adjusted for inflation at an annual rate of 3%, subject to certain further adjustments. Upon the expiry of the 20-year royalty term, the licenses granted to Mayne Pharma under the Mayne License Agreement will become a fully paid-up and royalty free license for the Licensed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expect to pay any significant federal or state income taxes due to net operating loss carry forwards from prior years.</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recorded a full valuation allowance of the net operating income and losses for the three months ended March 31, 2026 and 2025. Accordingly, there were no provisions for income taxes for the three months ended March 31, 2026 and 2025. Additionally, as of March 31, 2026 and December 31, 2025, we maintain a full valuation allowance for all deferred tax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(loss) per common share</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common share for the periods presented (in thousands, except per share amounts):</w:t>
      </w:r>
    </w:p>
    <w:p>
      <w:pPr>
        <w:spacing w:after="0" w:line="162"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color w:val="auto"/>
        </w:rPr>
        <w:t>March 31,</w:t>
      </w:r>
    </w:p>
    <w:p>
      <w:pPr>
        <w:sectPr>
          <w:pgSz w:w="11900" w:h="16838" w:orient="portrait"/>
          <w:cols w:equalWidth="0" w:num="1">
            <w:col w:w="11240"/>
          </w:cols>
          <w:pgMar w:left="320" w:top="333" w:right="339" w:bottom="1440" w:gutter="0" w:footer="0" w:header="0"/>
        </w:sect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right="3460"/>
        <w:spacing w:after="0" w:line="255" w:lineRule="auto"/>
        <w:rPr>
          <w:sz w:val="20"/>
          <w:szCs w:val="20"/>
          <w:color w:val="auto"/>
        </w:rPr>
      </w:pPr>
      <w:r>
        <w:rPr>
          <w:rFonts w:ascii="Times New Roman" w:cs="Times New Roman" w:eastAsia="Times New Roman" w:hAnsi="Times New Roman"/>
          <w:sz w:val="18"/>
          <w:szCs w:val="18"/>
          <w:color w:val="auto"/>
        </w:rPr>
        <w:t>Income (loss) from continuing operations, net of income taxes Loss from discontinued operations, net of income taxes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dilutive securities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7"/>
        </w:trPr>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11,574</w:t>
            </w: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11,552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20"/>
                <w:szCs w:val="20"/>
                <w:color w:val="auto"/>
              </w:rPr>
            </w:pPr>
          </w:p>
        </w:tc>
        <w:tc>
          <w:tcPr>
            <w:tcW w:w="9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11,640</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333"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per common share, continuing operations, net of income taxes</w:t>
            </w:r>
          </w:p>
        </w:tc>
        <w:tc>
          <w:tcPr>
            <w:tcW w:w="1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8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per common share, discontinued operations, net of income taxes</w:t>
            </w:r>
          </w:p>
        </w:tc>
        <w:tc>
          <w:tcPr>
            <w:tcW w:w="1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8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0.00</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0.00</w:t>
            </w:r>
          </w:p>
        </w:tc>
      </w:tr>
      <w:tr>
        <w:trPr>
          <w:trHeight w:val="637"/>
        </w:trPr>
        <w:tc>
          <w:tcPr>
            <w:tcW w:w="73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1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type w:val="continuous"/>
        </w:sectPr>
      </w:pPr>
    </w:p>
    <w:bookmarkStart w:id="18" w:name="page19"/>
    <w:bookmarkEnd w:id="18"/>
    <w:p>
      <w:pPr>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remaining balance of our warrants and a portion of the stock options were excluded from the calculation of diluted earnings (loss) per share because the weighted exercise prices of the warrants and stock options were greater than or equal to the average price of the common shares and were therefore anti-dilutive.</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since we reported a net loss from continuing operations, our potentially dilutive securities are deemed to be anti-dilutive, accordingly, there was no effect of dilutive securities. Therefore, our basic and diluted loss per common share and our basic and diluted weighted average common shares from continuing operations are the same for the three months ended March 31, 2025.</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weighted average securities for the periods presented which were not included in the calculation of diluted earnings (loss) per common share as of March 31 for the respective three month periods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As of March 31,</w:t>
            </w:r>
          </w:p>
        </w:tc>
      </w:tr>
      <w:tr>
        <w:trPr>
          <w:trHeight w:val="236"/>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parties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August 23, 2022, we appointed Mr. Justin Roberts as a director to fill a newly created vacancy on our Board of Directors. Mr. Roberts was elected to serve as a director at our combined 2022 and 2023 Annual Meeting held on June 26, 2023. Mr. Roberts will serve until our next Annual Meeting of Stockholders or until his successor is duly elected or appointed or his earlier death or resignation. As a director, Mr. Roberts is entitled to receive compensation in the same manner as our other non-employee directors, described in the section entitled “Director Compensation” in our Amendment No. 1 to Form 10-K for the fiscal year ended December 31, 2022, filed with the Securities and Exchange Commission on May 1, 2023, but he has elected not to receive any compensation for his service as a non-employee director at this time. Mr. Roberts currently serves as a Partner of Rubric. On July 29, 2022, September 30, 2022, October 28, 2022, and May 1, 2023, we entered into subscription agreements with Rubric. On December 30, 2022, in accordance with the terms of the Certificate of Designation, we redeemed all 29,000 outstanding shares of Series A Preferred Stock previously issued to affiliates of Rubric at a purchase price of $1,333 per share and also paid certain affiliates of Rubric approximately $3.0 million as a make-whole payment pursuant to the subscription agreements previously entered into between us and Rubric. On June 29, 2023, we issued and sold 312,525 shares of Common Stock to Rubric at a price per share equal to $3.6797 pursuant to the Subscription Agreement and received gross proceeds of $1.15 million, before expenses. On November 15, 2023, Rubric drew down an additional 877,192 shares of Common Stock at a price per share equal to $2.2761. We received gross proceeds of $2.0 million from the drawdown, before expenses. There were no draws in the first quarter of 2026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Business concentrations</w:t>
      </w:r>
    </w:p>
    <w:p>
      <w:pPr>
        <w:spacing w:after="0" w:line="22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TherapeuticsMD was previously a women’s healthcare company with a mission of creating and commercializing innovative products to support the lifespan of women from pregnancy prevention through menopause. In December 2022, we changed our business to become a pharmaceutical royalty company, currently receiving royalties on products licensed to pharmaceutical organizations that possess commercial capabilities in the relevant territories. As part of the transformation that included the Mayne License Agreement, all results associated with former commercial operations have been reflected as discontinued operations in our condensed consolidated financial statements. Liabilities associated with the commercial business are classified as liabilities of discontinued operations in our condensed consolidated balance sheets. Additional disclosures regarding discontinued operations are provided in Note 2.</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For the three months ended March 31, 2026, 100% of license revenue related to Mayne Pharma, Theramex and Knight.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we had a royalty receivable of $3,211 thousand relating to the short-term portion of receivable from Mayne Pharma, Theramex and Knight and $13,170 thousand relating to the long-term portion of royalty receivable which includes royalties recognized from the minimum annual royalty that Mayne Pharma is obligated to pay to us under the Mayne License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operate in one segment. Accordingly, our license revenue, net income (loss), and total assets reflect the revenue, income (loss), and assets of the single segment, respectively.</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Chief Executive Officer is the chief operating decision maker (“CODM”). The CODM uses net loss in assessing the performance and in determining the allocation of resources of our reportable segment. The CODM is regularly provided expense information consistent with the expense categories presented in the Condensed Consolidated Statements of Operations</w:t>
      </w:r>
    </w:p>
    <w:p>
      <w:pPr>
        <w:sectPr>
          <w:pgSz w:w="11900" w:h="16838" w:orient="portrait"/>
          <w:cols w:equalWidth="0" w:num="1">
            <w:col w:w="11140"/>
          </w:cols>
          <w:pgMar w:left="320" w:top="337" w:right="4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total revenue by geographic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Non-U.S.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r>
      <w:tr>
        <w:trPr>
          <w:trHeight w:val="427"/>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41"/>
        </w:trPr>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50"/>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80" w:space="720"/>
            <w:col w:w="2240"/>
          </w:cols>
          <w:pgMar w:left="320" w:top="337" w:right="439" w:bottom="1440" w:gutter="0" w:footer="0" w:header="0"/>
          <w:type w:val="continuous"/>
        </w:sect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2025 Annual Report on Form 10-K/A, filed with the SEC on April 1, 2026 (“2025 10-K/A Report”), and the condensed consolidated financial statements and related notes in Item 1, Financial Statements, appearing elsewhere in this Quarterly Report on Form 10-Q (“10-Q Report”). The following discussion may contain forward-looking statements, and our actual results may differ materially from the results suggested by these forward-looking statements. Factors that might cause such differences include, but are not limited to, those discussed in Part I, Item 1A of our 2025 10-K/A Report under the heading “Risk Factors.” We assume no obligation to revise or update any forward-looking statements for any reason, except as required by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 the following discussion may not add due to rounding, and all percentages have been calculated using unrounded amounts.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10-Q Report contains forward-looking statements within the meaning of the Private Securities Litigation Reform Act of 1995. These forward-looking statements involve substantial risks and uncertainties. For example, statements regarding our operations, financial position, debt position, liquidity, business strategy, and other plans and objectives for future operations, and assumptions and predictions about future cost reduction strategies, expenses and royalties are all forward-looking statements. These statements are generally accompanied by words such as “intend,” “anticipate,” “believe,” “estimate,” “potential(ly),” “continue,” “forecast,” “predict,” “plan,” “may,” “will,” “could,” “would,” “should,” “expect,” or the negative of such terms or other comparable terminology.</w:t>
      </w:r>
    </w:p>
    <w:p>
      <w:pPr>
        <w:spacing w:after="0" w:line="18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of this 10-Q Report, and we cannot assure you that these assumptions and expectations will prove to have been correct or that we will take any action that we may presently be planning. These forward-looking statements are inherently subject to known and unknown risks and uncertainties. Actual results or experience may differ materially from those expected or anticipated in the forward-looking statements. We do not undertake to update any forward-looking statements or to publicly announce the results of any revisions to any statements to reflect new information or future events or developments, except as required by law or by the rules and regulations of the SEC.</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and are subject to risks and uncertainties, many of which are outside of our control. Factors that could cause or contribute to such differences include, but are not limited to, our liquidity requirements, supply chain issues, management transitions, risks related to our licensing agreements, risks related to the pursuit of strategic alternatives, market and general economic factors, and the other risks discussed in Part I, Item 1A of our 2025 10-K/A Report, as updated and supplemented by Part II, Item 1A of this 10-Q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TherapeuticsMD was previously a women’s healthcare company with a mission of creating and commercializing innovative products to support the lifespan of women from pregnancy prevention through menopause. In December 2022, we changed our business to become a pharmaceutical royalty company, currently receiving royalties on products licensed to pharmaceutical organizations that possess commercial capabilities in the relevant territories. On December 30, 2022 (the “Closing Date”), we completed a transaction (the “Mayne Transaction”) with Mayne Pharma LLC, a Delaware limited liability company (“Mayne Pharma”) and subsidiary of Mayne Pharma Group Limited, an Australian public company (“Mayne Pharma Group”), in which we and our subsidiaries (i) granted Mayne Pharma an exclusive license to commercialize IMVEXXY, BIJUVA and prescription prenatal vitamin products sold under the BocaGreenMD and vitaMedMD brands (collectively, the “Licensed Products”) in the United States and its possessions and territories, (ii) assigned to Mayne Pharma our exclusive license to commercialize ANNOVERA® (together with the Licensed Products, collectively, the “Products”) in the United States and its possessions and territories, and (iii) sold certain other assets to Mayne Pharma in connection therewith.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right="80"/>
        <w:spacing w:after="0" w:line="258" w:lineRule="auto"/>
        <w:rPr>
          <w:sz w:val="20"/>
          <w:szCs w:val="20"/>
          <w:color w:val="auto"/>
        </w:rPr>
      </w:pPr>
      <w:r>
        <w:rPr>
          <w:rFonts w:ascii="Times New Roman" w:cs="Times New Roman" w:eastAsia="Times New Roman" w:hAnsi="Times New Roman"/>
          <w:sz w:val="18"/>
          <w:szCs w:val="18"/>
          <w:color w:val="auto"/>
        </w:rPr>
        <w:t>In a License Agreement, dated December 4, 2022, between TherapeuticsMD and Mayne Pharma (the “Mayne License Agreement”), we granted Mayne Pharma, on the Closing Date,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Mayne License Agreement, Mayne Pharma agreed to pay us one-time, milestone payments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agreed to pay us royalties on net sales of all Products in the United States at a royalty rate of 8.0% on the first $80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agreed to pay us minimum annual royalties of $3.0 million per year for 12 years, adjusted for inflation at an annual rate of 3%, subject to certain further adjustments, including as described below (the “Minimum Annual Royalty”). Upon the expiry of the 20-year royalty term, the licenses granted to Mayne Pharma under the Mayne License Agreement will become a fully paid-up and royalty free license for the Licensed Products.</w:t>
      </w:r>
    </w:p>
    <w:p>
      <w:pPr>
        <w:spacing w:after="0" w:line="1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Under the Transaction Agreement, dated December 4, 2022, between TherapeuticsMD and Mayne Pharma (the “Transaction Agreement”), we sold to Mayne Pharma, at closing, certain assets for Mayne Pharma to commercialize the Products in the United States, including, with the Population Council’s consent, our exclusive license from the Population Council to commercialize ANNOVERA (the “Transferred Assets”).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total consideration from Mayne Pharma to us for the purchase of the Transferred Assets under the Transaction Agreement and the grant of the licenses under the Mayne License Agreement was (i) a cash payment of $140.0 million at closing, (ii) a cash payment of approximately $12.1 million at closing for the acquisition of net working capital as determined in accordance with the Transaction Agreement and subject to certain adjustments, (iii) a cash payment of approximately $1.0 million at closing for prepaid royalties in connection with the Mayne License Agreement Amendment (as defined below) and (iv) the right to receive the contingent consideration set forth in the Mayne License Agreement, as amended. The acquisition of net working capital was determined in accordance with the Transaction Agreement and included significant estimates which could change materially for a period of up to two years following the Closing Date.</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the Closing Date, TherapeuticsMD and Mayne Pharma entered into Amendment No. 1 to the Mayne License Agreement (the “Mayne License Agreement Amendment”). Pursuant to the Mayne License Agreement Amendment, Mayne Pharma agreed to pay us approximately $1.0 million in prepaid royalties on the Closing Date. The prepaid royalties reduced the first four quarterly payments that would have otherwise been payable pursuant to the Mayne License Agreement by an amount equal to $257 thousand per quarterly royalty payment plus interest calculated at 19% per annum accruing from the Closing Date until the date such quarterly royalty payment was paid to us. We and Mayne Pharma settled the $1.5 million of consideration due to Mayne for the assumed obligations under a long-term services agreement, including our minimum payment obligations thereunder. As the parties agreed, during the second quarter of 2023, Mayne Pharma held back our royalty payment of $0.6 million, and we funded an additional $0.9 million in August 2023 to settle the original $1.5 million payable.</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part of the transformation that included the Mayne License Agreement, all results associated with former commercial operations have been reflected as discontinued operations in our condensed consolidated financial statements. Liabilities associated with the commercial business are classified as liabilities of discontinued operations in our consolidated balance sheets. See Note 2 – Discontinued Operations to the condensed consolidated financial statements included in this Quarterly Report on Form 10-Q for further details.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We also have license agreements with strategic partners to commercialize IMVEXXY and BIJUVA outside of the U.S.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2018, we entered into the “Knight License Agreement” with Knight pursuant to which we granted Knight an exclusive license to commercialize IMVEXXY and BIJUVA in Canada and Israel. Knight obtained regulatory approval for IMVEXXY and BIJUVA and began commercialization efforts in 2024.</w:t>
      </w:r>
    </w:p>
    <w:p>
      <w:pPr>
        <w:spacing w:after="0" w:line="17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we entered into an exclusive license and supply agreement (the “Theramex License Agreement”) with Theramex HQ UK Limited (“Theramex”) to commercialize IMVEXXY and BIJUVA outside of the U.S., excluding Canada and Israel. In 2021, Theramex secured regulatory approval for BIJUVA in certain European countries and began commercialization efforts in those countries.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transferred the right to commercialize IMVEXXY and BIJUVA in Israel from Knight to Theramex.</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continue to evaluate a variety of strategic alternatives that may include, but not be limited to, an acquisition, merger, other business combination, sale of assets, or other strategic transactions. Although we are exploring potential strategic alternatives, there can be no assurance of a transaction, a successful outcome of these efforts, or the form or timing of any such outcome. We have not set a timetable for completion of this exploration process and do not intend to disclose further developments unless and until required by applicable laws or regulations or as otherwise deemed appropriate by our Board of Directors or Chief Executive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Following the transaction with Mayne Pharma, our primary source of revenue is from royalties on products licensed to pharmaceutical organizations that possess commercial capabilities in the relevant territories. We may need to raise additional capital to provide additional liquidity to fund our operations until we become cash flow positive. To address our capital needs, we may pursue various equity and debt financing and other alternatives. The equity financing alternatives may include the private placement of equity, equity-linked, or other similar instruments or obligations with one or more investors, lenders, or other institutional counterparties or an underwritten public equity or equity-linked securities offering. Our ability to sell equity securities may be limited by market conditions, including the market price of our common stock, and our available authorized shares.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such securities, the ownership interests of our existing stockholders will be diluted, and the terms of these new securities may include liquidation or other preferences that adversely affect the rights of our existing stockholders. If we are not successful in obtaining additional financing, we could be forced to discontinue or curtail our business operations, sell assets at unfavorable prices, or merge, consolidate, or combine with a company with greater financial resources in a transaction that might be unfavorable to us.</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May 1, 2023, we entered into a Subscription Agreement (the “Subscription Agreement”) with Rubric Capital Management LP (“Rubric”), pursuant to which we agreed to sell to Rubric, or one or more of its affiliates, up to an aggregate of 5,000,000 shares of our common stock, par value $0.001 per share (our “Common Stock”), from time to time during the term of the Subscription Agreement in separate draw-downs at our election. On June 29, 2023, we issued and sold 312,525 shares of Common Stock at a price per share equal to $3.6797 pursuant to the Subscription Agreement. We received gross proceeds of $1.15 million from the drawdown, before expenses. On November 15, 2023, Rubric drew down an additional 877,192 shares of Common Stock at a price per share equal to $2.2761. We received gross proceeds of $2.0 million from the drawdown, before expenses.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Mayne Pharma paid us approximately $12.1 million at closing on December 30, 2022, for the acquisition of net working capital, subject to certain adjustments as determined in accordance with the Transaction Agreement. While the Transaction Agreement calls for much of the net working capital to be trued-up shortly after the Closing Date in 2023, for a period of one year following the Closing Date in the case of payer rebates and wholesale distributor fees and two years following the Closing Date in the case for allowance for returns, net working capital amounts will be adjusted to arrive at final net working capital under the Transaction Agreement.</w:t>
      </w:r>
    </w:p>
    <w:p>
      <w:pPr>
        <w:spacing w:after="0" w:line="183"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September 2023, we revised certain accrual estimates including increasing our working capital adjustment accrual from $3.5 million to $5.5 million for amounts anticipated to be owed under the Transaction Agreement. In December 2023, we made a $5.5 million payment to Mayne Pharma to settle certain working capital amounts that were required to be trued-up shortly after the Closing Date, excluding the allowance for returns, allowance for payer rebates, and allowance for wholesale distributor fees.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right="40"/>
        <w:spacing w:after="0" w:line="256" w:lineRule="auto"/>
        <w:rPr>
          <w:sz w:val="20"/>
          <w:szCs w:val="20"/>
          <w:color w:val="auto"/>
        </w:rPr>
      </w:pPr>
      <w:r>
        <w:rPr>
          <w:rFonts w:ascii="Times New Roman" w:cs="Times New Roman" w:eastAsia="Times New Roman" w:hAnsi="Times New Roman"/>
          <w:sz w:val="18"/>
          <w:szCs w:val="18"/>
          <w:color w:val="auto"/>
        </w:rPr>
        <w:t>Our estimate of the allowance for payer rebates and wholesale distributor fees was determined in accordance with the Transaction Agreement which establishes the process for the determination of net working capital. In February 2024, we received Mayne Pharma’s calculation of the net working capital allowances for payer rebates and wholesale distributor fees pursuant to the Transaction Agreement, which differed significantly from our estimate of the allowances. We continue to believe our estimated allowances for payer rebates and wholesale distributor fees are reasonable. In August 2024 and in February 2025, we also received information from Mayne Pharma pertaining to the net working capital allowance for returns that differs significantly from our estimate of the allowance.</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April 8, 2025, we filed a lawsuit against Mayne Pharma in the United States District Court for the District of Delaware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 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On April 6, 2026, we filed objections to certain of the magistrate judge’s recommendations.</w:t>
      </w:r>
    </w:p>
    <w:p>
      <w:pPr>
        <w:spacing w:after="0" w:line="19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May 30, 2025, Mayne Pharma filed the Mayne Countersuit seeking damages for breach of contract and fraudulent inducement related to the Transaction Agreement. As part of the Mayne Countersuit, Mayne Pharma also made certain indemnification demands under the Transaction Agreement, which we dispute. On July 28, 2025, we filed a motion to dismiss the fraudulent inducement claim in the Mayne Countersuit. On March 23, 2026, a magistrate judge recommended that the court grant our motion to dismiss Mayne Pharma’s claim for fraudulent inducement, but recommended the court deny our motion to dismiss Mayne Pharma’s other claims. As of March 31, 2026, we believed no additional accrual was required for such claims, as we could not reasonably estimate a range of loss.</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outcome of this matter is uncertain at this point. As a result, we cannot reasonably estimate a range of loss, and accordingly, we have not accrued any additional liability associated with Mayne Pharma’s allowance calculation for payer rebates and wholesale distributor fees, particularly as we believe the outcome of this matter to be intertwined with the resolution of the net working capital allowance for returns.</w:t>
      </w:r>
    </w:p>
    <w:p>
      <w:pPr>
        <w:spacing w:after="0" w:line="176" w:lineRule="exact"/>
        <w:rPr>
          <w:sz w:val="20"/>
          <w:szCs w:val="20"/>
          <w:color w:val="auto"/>
        </w:rPr>
      </w:pPr>
    </w:p>
    <w:p>
      <w:pPr>
        <w:ind w:right="680"/>
        <w:spacing w:after="0" w:line="289" w:lineRule="auto"/>
        <w:rPr>
          <w:sz w:val="20"/>
          <w:szCs w:val="20"/>
          <w:color w:val="auto"/>
        </w:rPr>
      </w:pPr>
      <w:r>
        <w:rPr>
          <w:rFonts w:ascii="Times New Roman" w:cs="Times New Roman" w:eastAsia="Times New Roman" w:hAnsi="Times New Roman"/>
          <w:sz w:val="17"/>
          <w:szCs w:val="17"/>
          <w:color w:val="auto"/>
        </w:rPr>
        <w:t>As of March 31, 2026, we also believed no additional accrual was required for amounts that may be owed for the allowance for returns under the Transaction Agreement. We have not recorded any contingent gains or receivables for any such allowances. Management continues to monitor the unresolved and pending net working capital items as changes to estimated amounts owed or amounts due from Mayne Pharma may be material.</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Mayne Pharma has also made certain indemnification demands under the Transaction Agreement, which we dispute. As of March 31, 2026, we believed no additional accrual was required for such claims, as we could not reasonably estimate a range of loss.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Mayne Pharma’s sales of Licensed Products grow more slowly than expected or decline, including as a result of Mayne Pharma Group’s potential sale to Cosette Pharmaceuticals, Inc., if the net working capital settlement with Mayne Pharma under the Transaction Agreement is greater than our current estimates, if the outcome of the Mayne Lawsuits is worse than we anticipate, if we are unsuccessful with future financings or the supply chains related to the third-party contract manufacturers are worse than we anticipate, our existing cash reserves may be insufficient to satisfy our liquidity requirements. The potential impact of these factors in conjunction with the uncertainty of the capital markets raise substantial doubt about our ability to continue as a going concern for the next twelve months from the issuance of these financial statements.</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do not include any adjustments that might be necessary if we are unable to continue as a going concern.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Portfolio of our royalty-bearing products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December 2022, we changed our business to become a pharmaceutical royalty company, currently receiving royalties on products licensed to pharmaceutical organizations that possess commercial capabilities in the relevant territories. On December 30, 2022, we granted an exclusive license to commercialize IMVEXXY, BIJUVA, and prescription prenatal vitamin products sold under the BocaGreenMD and vitaMedMD brands and assigning our exclusive license to commercialize ANNOVERA to Mayne Pharma.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IMVEXXY (estradiol vaginal inserts), 4-µg and 10-µg</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pharmaceutical product is for the treatment of moderate-to-severe dyspareunia (vaginal pain associated with sexual activity), a symptom of vulvar and vaginal atrophy due to menopause. As part of the FDA’s approval of IMVEXXY, we committed to conduct a post-approval observational study to evaluate the risk of endometrial cancer in post-menopausal women with a uterus who use a low-dose vaginal estrogen unopposed by a progestogen.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30, 2022, we granted an exclusive license to commercialize IMVEXXY in the United States and its possessions and territories to Mayne Pharma. We also have entered into licensing agreements with third parties to market and sell IMVEXXY outside of the U.S. We entered into the Knight License Agreement, with Knight pursuant to which, we granted Knight an exclusive license to commercialize IMVEXXY in Canada and Israel. We entered into the Theramex License Agreement with Theramex pursuant to which we granted Theramex an exclusive license to commercialize IMVEXXY for human use outside of the U.S., except for Canada and Israel. In December 2024, we transferred the right to commercialize IMVEXXY in Israel from Knight to Theramex.</w:t>
      </w:r>
    </w:p>
    <w:p>
      <w:pPr>
        <w:spacing w:after="0" w:line="18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FDA has also asked the sponsors of other vaginal estrogen products to participate in the observational study. In connection with the observational study, we would have been required to provide progress reports to the FDA on an annual basis. The obligation to conduct this study was transferred to Mayne Pharma as part of the Mayne License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BIJUVA (estradiol and progesterone) capsules, 1 mg/100 mg</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pharmaceutical product is the first and only FDA approved bioidentical hormone therapy combination of estradiol and progesterone in a single, oral capsule for the treatment of moderate-to-severe vasomotor symptoms (commonly known as hot flashes or flushes) due to menopause in women with a uterus.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December 30, 2022, we granted an exclusive license to commercialize BIJUVA in the United States and its possessions and territories to Mayne Pharma. We also have entered into the Knight License Agreement with Knight pursuant to which we granted Knight an exclusive license to commercialize BIJUVA in Canada and Israel. We have entered into the Theramex License Agreement with Theramex pursuant to which we granted Theramex an exclusive license to commercialize BIJUVA for human use outside of the U.S., except for Canada and Israel. In December 2024, we transferred the right to commercialize BIJUVA in Israel from Knight to Theramex.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ANNOVERA (segesterone acetate (“SA”) and ethinyl estradiol (“EE”) vaginal system)</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This pharmaceutical product is a one-year ring-shaped contraceptive vaginal system (“CVS”) and the first and only patient-controlled, procedure-free, reversible prescription contraceptive that can prevent pregnancy for up to a total of 13 cycles (one year).</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December 30, 2022, we assigned our exclusive license to commercialize ANNOVERA in the United States and its possessions and territories to Mayne Pharma.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Prenatal vitamin products</w:t>
      </w:r>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December 30, 2022, we granted an exclusive license to commercialize, in the United States and its possessions and territories, our prescription prenatal vitamin product lines under our vitaMedMD brand name and authorized generic formulations of some of our prescription prenatal vitamin products under our BocaGreenMD Prenatal name to Mayne Pharma.</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part of the transformation that included the Mayne License Agreement, all results associated with former commercial operations have been reflected as discontinued operations in our condensed consolidated financial statements for all periods prior to the Closing Date. Liabilities associated with the commercial business are classified as liabilities of discontinued operations in our condensed consolidated balance sheets. Additional disclosures regarding discontinued operations are provided in Note 2 to the condensed consolidated financial statements included in this Quarterly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discussion below, and the revenues and expenses discussed below, are based on, and relate to, our continuing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with three months ended March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results of our operations (in thousands):</w:t>
      </w:r>
    </w:p>
    <w:p>
      <w:pPr>
        <w:spacing w:after="0" w:line="22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Write-off of patents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income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net of income taxes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recorded $724 thousand in license revenue for the first quarter of 2026, an increase of $331 thousand, compared to $393 thousand in license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for the first quarter of 2025. The increase is attributable to changes in sales of licensed products.</w:t>
      </w:r>
    </w:p>
    <w:p>
      <w:pPr>
        <w:spacing w:after="0" w:line="158"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were $1,353 thousand for the first quarter of 2026, a decrease of $138 thousand or 9.3%,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$1,491 thousand for 2025. The decrease is primarily attributable to lower professional fees and share-based compensation costs.</w:t>
      </w:r>
    </w:p>
    <w:p>
      <w:pPr>
        <w:spacing w:after="0" w:line="158"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Write-off of patents. </w:t>
      </w:r>
      <w:r>
        <w:rPr>
          <w:rFonts w:ascii="Times New Roman" w:cs="Times New Roman" w:eastAsia="Times New Roman" w:hAnsi="Times New Roman"/>
          <w:sz w:val="18"/>
          <w:szCs w:val="18"/>
          <w:color w:val="auto"/>
        </w:rPr>
        <w:t>We have no write-off for abandoned patents for the first quarter of 2026, compared to an $88 thousand written off for abandoned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pending patents in the first quarter of 2025.</w:t>
      </w:r>
    </w:p>
    <w:p>
      <w:pPr>
        <w:spacing w:after="0" w:line="158"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$94 thousand for the first quarter of 2026, compared to $95 thousand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of 2025. This balance is entirely comprised of amortization of license rights and intangible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Total operating expenses for the first quarter of 2026 were $1,447 thousand, a decrease of $227 thousand, or 13.6%, compared to</w:t>
      </w:r>
    </w:p>
    <w:p>
      <w:pPr>
        <w:spacing w:after="0" w:line="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$1,674 thousand for the first quarter of 2025. The decrease is primarily attributable to the absence of write-off expense recognized in 2025 as well as lower professional fees and share-based compensation costs.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from operations. </w:t>
      </w:r>
      <w:r>
        <w:rPr>
          <w:rFonts w:ascii="Times New Roman" w:cs="Times New Roman" w:eastAsia="Times New Roman" w:hAnsi="Times New Roman"/>
          <w:sz w:val="18"/>
          <w:szCs w:val="18"/>
          <w:color w:val="auto"/>
        </w:rPr>
        <w:t>In the first quarter of 2026, we had a loss from operations of $723 thousand, as compared to a loss from operations of $1,281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 for the first quarter of 2025. This change reflects the increase in revenue from licensed product sales, the absence of write-off expense recognized, and lower professional fees.</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During the first quarter of 2026, we had other income of $826 thousand compared to other income of $613 thousand in the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2025, reflecting an increase in sublease income and higher other income pertaining to Mayne’s royalty sales of ANNOVERA in the first quarter of 2026.</w:t>
      </w:r>
    </w:p>
    <w:p>
      <w:pPr>
        <w:spacing w:after="0" w:line="15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Income (loss) from continuing operations</w:t>
      </w:r>
      <w:r>
        <w:rPr>
          <w:rFonts w:ascii="Times New Roman" w:cs="Times New Roman" w:eastAsia="Times New Roman" w:hAnsi="Times New Roman"/>
          <w:sz w:val="18"/>
          <w:szCs w:val="18"/>
          <w:color w:val="auto"/>
        </w:rPr>
        <w:t>. For the first quarter of 2026, we had net income of $103 thousand, compared to a net loss of $636 thousand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quarter of 2025.</w:t>
      </w:r>
    </w:p>
    <w:p>
      <w:pPr>
        <w:spacing w:after="0" w:line="158"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 Net loss from discontinued operations was $8 thousand for the first quarter of 2026, compared to a loss from discontinued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of $17 thousand for the first quarter of 2025.</w:t>
      </w:r>
    </w:p>
    <w:p>
      <w:pPr>
        <w:spacing w:after="0" w:line="16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2 - Discontinued Operations, in the notes to the condensed consolidated financial statements appearing elsewhere in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primary use of cash is to fund our continued operations. We have funded our operations primarily through revenue from licensed royalties, public offerings of our common stock and private placements of equity and debt securities, and the transactions with Mayne Pharma. As of March 31, 2026, we had cash and cash equivalents totaling $8,419 thousand. We maintain cash at financial institutions that at times may exceed the Federal Deposit Insurance Corporation insured limits of $250 thousand per bank. We have never experienced any losses related to these funds.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Mayne Pharma License Agreement</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December 30, 2022, we granted Mayne Pharma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 The total consideration from Mayne Pharma to us under the Mayne License Agreement consisted of (i) a cash payment of $140.0 million at closing, (ii) a cash payment of approximately $12.1 million at closing for the acquisition of net working capital as determined in accordance with the transaction agreement dated December 4, 2022, and subject to certain adjustments, (iii) a cash payment of approximately $1.0 million at closing for prepaid royalties in connection with the Mayne License Agreement Amendment and (iv) the right to receive the contingent consideration set forth in the Mayne License Agreement, as amended.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Pursuant to the Mayne License Agreement, Mayne Pharma agreed to pay us one-time, milestone payments of each of (i) $5.0 million if aggregate net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all Products in the United States during a calendar year reach $100.0 million, (ii) $10.0 million if aggregate net sales of all Products in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a calendar year reach $200.0 million and (iii) $15.0 million if aggregate net sales of all Products in the United States during a calendar year 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 million. Further, Mayne Pharma agreed to pay us royalties on net sales of all Products in the United States at a royalty rate of 8.0% on the first $80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annual net sales and 7.5% on annual net sales above $80.0 million, subject to certain adjustments, for a period of 20 years following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The royalty rate will decrease to 2.0% on a Product-by-Product basis upon the earlier to occur of (i) the expiration or revocation of the last patent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covering a Product and (ii) a generic version of a Product launching in the United States. Mayne Pharma agreed to pay us minimum annual royalties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million per year for 12 years, adjusted for inflation at an annual rate of 3%, subject to certain further adjustments, including as described below.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expiry of the 20-year royalty term, the licenses granted to Mayne Pharma under the Mayne License Agreement will become a fully paid-up and royalty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license for the Licensed Products.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Agreement with Rubric Capital Management LP</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May 1, 2023, we entered into the Subscription Agreement with Rubric, pursuant to which we agreed to sell to Rubric, or one or more of its affiliates, up to an aggregate of 5,000,000 shares of Common Stock, from time to time during the term of the Subscription Agreement in separate drawdowns at our election, at a purchase price of the five-day volume-weighted average price of our common stock at the time of the sale of such shares, at an aggregate purchase price of up to $5,000,000 (collectively, the “Private Placement”).</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initial drawdown occurred on June 29, 2023 consisting of a sale of 312,525 shares of Common Stock at a price per share equal to $3.6797. We received gross proceeds of $1.15 million from the drawdown, before expenses. On November 15, 2023 Rubric drew down an additional 877,192 shares of Common Stock at a price per share equal to $2.2761. We received gross proceeds of $2.0 million from the drawdown, before expenses. There were no drawdowns in the first quarter of 2026 and 2025.</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See “Going Concern” above for further discussion related to our ability to generate and obtain adequate amounts of cash to meet our liquidity needs and our plans to satisfy our such needs in the short-term and in the long-term. As a result, there is substantial doubt about our ability to continue as a going concern for the next twelve months from the issuance of these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major categories of cash flows for each of the periods (in thousands).</w:t>
      </w:r>
    </w:p>
    <w:p>
      <w:pPr>
        <w:spacing w:after="0" w:line="225"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90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continuing operating activities</w:t>
            </w:r>
          </w:p>
        </w:tc>
        <w:tc>
          <w:tcPr>
            <w:tcW w:w="72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8"/>
                <w:szCs w:val="18"/>
                <w:color w:val="auto"/>
              </w:rPr>
            </w:pPr>
          </w:p>
        </w:tc>
      </w:tr>
      <w:tr>
        <w:trPr>
          <w:trHeight w:val="23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discontinued operations</w:t>
            </w:r>
          </w:p>
        </w:tc>
        <w:tc>
          <w:tcPr>
            <w:tcW w:w="72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8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72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89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Operating Activities from continuing operations</w:t>
      </w:r>
      <w:r>
        <w:rPr>
          <w:rFonts w:ascii="Times New Roman" w:cs="Times New Roman" w:eastAsia="Times New Roman" w:hAnsi="Times New Roman"/>
          <w:sz w:val="18"/>
          <w:szCs w:val="18"/>
          <w:color w:val="auto"/>
        </w:rPr>
        <w:t>. For the first quarter of 2026, net cash provided by operating activities was $944 thousand, compared to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provided by operating activities of $699 thousand for the first quarter of 2025. The increase was primarily driven by cash received from royalty receivable, partially offset by a larger use of cash for outstanding accounts payable, and the absence of the prior-year write-off of abandoned patents.</w:t>
      </w:r>
    </w:p>
    <w:p>
      <w:pPr>
        <w:spacing w:after="0" w:line="173"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Net cash used in discontinued operations</w:t>
      </w:r>
      <w:r>
        <w:rPr>
          <w:rFonts w:ascii="Times New Roman" w:cs="Times New Roman" w:eastAsia="Times New Roman" w:hAnsi="Times New Roman"/>
          <w:sz w:val="18"/>
          <w:szCs w:val="18"/>
          <w:color w:val="auto"/>
        </w:rPr>
        <w:t>. Net cash used in discontinued operations for the first three months of 2026 was $8 thousand as compared to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used in operating activities from discontinued operations of $13 thousand for the first three months of 2025. This change relates primarily to a decreased level of activities associated with our discontinued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details, see the condensed consolidated statements of cash flows in Item 1, Financial Statements, appearing elsewhere in this 10-Q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Other liquidity measures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Receivable from Mayne Pharma</w:t>
      </w:r>
      <w:r>
        <w:rPr>
          <w:rFonts w:ascii="Times New Roman" w:cs="Times New Roman" w:eastAsia="Times New Roman" w:hAnsi="Times New Roman"/>
          <w:sz w:val="18"/>
          <w:szCs w:val="18"/>
          <w:color w:val="auto"/>
        </w:rPr>
        <w:t>. On December 30, 2022, Mayne Pharma acquired our accounts receivable balance of approximately $29.3 million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certain working capital adjustments. As of March 31, 2026, we had a royalty receivable of $2,731 thousand relating to the short-term portion of royalty receivable from Mayne Pharma and $13,170 thousand relating to the long-term portion of royalty receivable which includes royalties recognized from the Minimum Annual Royalty. See “Note 1 Business, basis of presentation, new accounting standards and summary of significant accounting policies (Revenue Recognition)” to the consolidated financial statements included in our 2025 10-K/A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off-balance sheet arrangements and purchase commitments and employment agreements</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contractual obligations and off-balance sheet arrangements are set forth below. For additional information on any of the following and other obligations and arrangements, see “Note 6. Commitments and Contingencies” to the condensed consolidated financial statements included in this 10-Q Report.</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with third parties that include indemnification provisions, which, in our judgment, are normal and customary for companies in our industry sector. Pursuant to these agreements, we agree to indemnify, hold harmless, and reimburse indemnified parties for losses suffered, for which there may or may not be limitations on potential damages. The maximum potential amount of future payments we could be required to make under these indemnification provisions is sometimes unlimited. As a result, the estimated fair value of liabilities relating to these provisions is minimal. Accordingly, we had no liabilities recorded for these provisions as of March 31, 2026 and December 31, 2025.</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may be confronted with issues or events that may result in contingent liability. These generally relate to lawsuits, claims, environmental actions, or the actions of various regulatory agencies. We consult with counsel and other appropriate experts to assess the claim. If, in our opinion, we have incurred a probable loss and the amount of the loss can be reasonably estimated, as set forth by accounting principles generally accepted in the United States of America (“U.S. GAAP”), an estimate is made of the loss and the appropriate accounting entries are reflected in our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are based upon our condensed consolidated financial statements included elsewhere in this 10-Q Report, which has been prepared in accordance with U.S. GAAP and SEC rules and regulations related to interim financial reporting. We make estimates and assumptions that affect the reported amounts on our condensed consolidated financial statements and accompanying notes as of the date of the condensed consolidated financial statements. The critical accounting policies and estimates used are disclosed in Item 7 – Management’s discussion and analysis of financial condition and results of operations – Critical accounting policies and estimates in our 2025 10-K/A Report.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Securities Exchange Act of 1934, as amended (the “Exchange Act”), and pursuant to Instruction 6 to Item 201(e) of Regulation S-K, we are not required to provide this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the reports filed or submitted under the Securities Exchange Act of 1934, as amended (the “Exchange Act”), is recorded, processed, summarized and reported, within the time period specified in the SEC’s rules and forms and is accumulated and communicated to our management, including our Chief Executive Officer and Principal Financial and Accounting Officer, as appropriate, in order to allow timely decisions regarding required disclosure.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Chief Executive Officer evaluated the effectiveness of our disclosure controls and procedures (as defined in Rules 13a-15(e) and 15d-15(e) under the Exchange Act) as of the end of the period covered by this 10-Q Report. Based on that evaluation, our Chief Executive Officer concluded that our disclosure controls and procedures as of the end of the period covered by this 10-Q Report were effective in providing reasonable assurance that information required to be disclosed by us in reports that we file or submit under the Exchange Act is (i) recorded, processed, summarized and reported within the time periods specified in the SEC’s rules and forms and (ii) accumulated and communicated to our management, including our Chief Executive Officer and Principal Financial and Accounting Officer, as appropriate, to allow timely decisions regarding required disclosure.</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our most recent fiscal quarter that has materially affected, or is reasonably likely to materially affect, our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0" w:name="page31"/>
    <w:bookmarkEnd w:id="3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litigation and proceedings in the ordinary course of our business. Other than the legal proceedings disclosed in Note 6, Commitments and contingencies in Part I, Item 1, Financial Statements, appearing elsewhere in this 10-Q Report, we are not involved in any legal proceeding that we believe would have a material effect on our business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business, financial condition and operating results can be affected by a number of factors, whether currently known or unknown, including but not limited to those described in Part I, Item 1A of the 2025 10-K/A Report under the heading “Risk Factors,”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 There have been no material changes to our risk factors since the 2025 10-K/A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adopted or terminated any Rule 10b5-1 trading arrangement or non-Rule 10b5-1 trading arrangement (as such terms are defined in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9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Articles of Incorporation of AMHN, Inc. filed in the State of Nevada, dated July 20, 2010 (1)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Bylaws of AMHN, Inc. (2)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 and Rule 15d-14(a)</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 13a-14(a) and Rule 15d-14(a)</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1350 Certification of Chief Executive Officer</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1350 Certification of Principal Financial Officer</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r>
      <w:tr>
        <w:trPr>
          <w:trHeight w:val="198"/>
        </w:trPr>
        <w:tc>
          <w:tcPr>
            <w:tcW w:w="1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Document Set for the condensed consolidated financial statements and accompanying notes in Part I, Item 1, “Financial</w:t>
            </w:r>
          </w:p>
        </w:tc>
      </w:tr>
      <w:tr>
        <w:trPr>
          <w:trHeight w:val="234"/>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Statements” of this Quarterly Report on Form 10-Q</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25" w:lineRule="exact"/>
        <w:rPr>
          <w:sz w:val="20"/>
          <w:szCs w:val="20"/>
          <w:color w:val="auto"/>
        </w:rPr>
      </w:pPr>
    </w:p>
    <w:p>
      <w:pPr>
        <w:ind w:left="340" w:right="6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Form 10-Q for the quarter ended June 30, 2010 filed with the Commission on August 3, 2010 and incorporated herein by reference (SEC File No. 000-16731).</w:t>
      </w:r>
    </w:p>
    <w:p>
      <w:pPr>
        <w:spacing w:after="0" w:line="161"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Definitive 14C Information Statement filed with the Commission on June 29, 2010 and incorporated herein by reference (SEC File No. 000-16731).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7"/>
          <w:szCs w:val="17"/>
          <w:color w:val="auto"/>
        </w:rPr>
        <w:t>TherapeuticsMD,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Marlan D.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Marlan D. Walker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Joseph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Joseph Ziegler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Marlan D. Walker,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TherapeuticsMD,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Marlan D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543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Marlan D. Walker</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Ziegler,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TherapeuticsMD,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Joseph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Joseph Ziegler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Executive Officer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TherapeuticsMD, Inc. (the “Company”) on Form 10-Q for the quarterly period ended March 31, 2026 as filed with the Securities and Exchange Commission on the date hereof (the “Report”), I, Marlan D. Walker, Chief Executive Officer of the Company, certify, to my best knowledge and belief, pursuant to 18 U.S.C. § 1350, as adopted pursuant to § 906 of the Sarbanes-Oxley Act of 2002, that:</w:t>
      </w:r>
    </w:p>
    <w:p>
      <w:pPr>
        <w:spacing w:after="0" w:line="176" w:lineRule="exact"/>
        <w:rPr>
          <w:sz w:val="20"/>
          <w:szCs w:val="20"/>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61" w:lineRule="exact"/>
        <w:rPr>
          <w:rFonts w:ascii="Times New Roman" w:cs="Times New Roman" w:eastAsia="Times New Roman" w:hAnsi="Times New Roman"/>
          <w:sz w:val="18"/>
          <w:szCs w:val="18"/>
          <w:color w:val="auto"/>
        </w:rPr>
      </w:pPr>
    </w:p>
    <w:p>
      <w:pPr>
        <w:ind w:right="220" w:firstLine="332"/>
        <w:spacing w:after="0" w:line="500"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 Date: May 12, 2026</w:t>
      </w:r>
    </w:p>
    <w:p>
      <w:pPr>
        <w:spacing w:after="0" w:line="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Marlan D.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Marlan D. Walker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Principal Financial Officer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TherapeuticsMD, Inc. (the “Company”) on Form 10-Q for the quarterly period ended March 31, 2026 as filed with the Securities and Exchange Commission on the date hereof (the “Report”), I, Joseph Ziegler, Principal Financial Officer of the Company, certify, to my best knowledge and belief, pursuant to 18 U.S.C. § 1350, as adopted pursuant to § 906 of the Sarbanes-Oxley Act of 2002, that:</w:t>
      </w:r>
    </w:p>
    <w:p>
      <w:pPr>
        <w:spacing w:after="0" w:line="176" w:lineRule="exact"/>
        <w:rPr>
          <w:sz w:val="20"/>
          <w:szCs w:val="20"/>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61" w:lineRule="exact"/>
        <w:rPr>
          <w:rFonts w:ascii="Times New Roman" w:cs="Times New Roman" w:eastAsia="Times New Roman" w:hAnsi="Times New Roman"/>
          <w:sz w:val="18"/>
          <w:szCs w:val="18"/>
          <w:color w:val="auto"/>
        </w:rPr>
      </w:pPr>
    </w:p>
    <w:p>
      <w:pPr>
        <w:ind w:right="220" w:firstLine="332"/>
        <w:spacing w:after="0" w:line="500" w:lineRule="auto"/>
        <w:tabs>
          <w:tab w:leader="none" w:pos="6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 Date: May 12, 2026</w:t>
      </w:r>
    </w:p>
    <w:p>
      <w:pPr>
        <w:spacing w:after="0" w:line="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Joseph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Joseph Ziegler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lowerRoman"/>
      <w:start w:val="3"/>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6"/>
    </w:lvl>
  </w:abstractNum>
  <w:abstractNum w:abstractNumId="6">
    <w:nsid w:val="216231B"/>
    <w:multiLevelType w:val="hybridMultilevel"/>
    <w:lvl w:ilvl="0">
      <w:lvlJc w:val="left"/>
      <w:lvlText w:val="%1."/>
      <w:numFmt w:val="decimal"/>
      <w:start w:val="7"/>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51" Type="http://schemas.openxmlformats.org/officeDocument/2006/relationships/hyperlink" Target="https://www.sec.gov/Archives/edgar/data/25743/000119312510175462/dex35.htm" TargetMode="External"/><Relationship Id="rId52" Type="http://schemas.openxmlformats.org/officeDocument/2006/relationships/hyperlink" Target="https://www.sec.gov/Archives/edgar/data/25743/000119312510149198/ddef14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2026-05-12T15:29:31Z</dcterms:created>
  <dcterms:modified xsi:type="dcterms:W3CDTF">2026-05-12T15:29:31Z</dcterms:modified>
</cp:coreProperties>
</file>