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75992-10k_therape.htm"/>
      <w:bookmarkStart w:id="1" w:name="ksea027599210k_therape"/>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001-00100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257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87-0233535</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245"/>
        <w:gridCol w:w="90"/>
        <w:gridCol w:w="980"/>
      </w:tblGrid>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951 Yamato Road, Suite 220</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Boca Raton, Florida</w:t>
            </w:r>
          </w:p>
        </w:tc>
        <w:tc>
          <w:tcPr>
            <w:tcW w:w="9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33431</w:t>
            </w:r>
          </w:p>
        </w:tc>
      </w:tr>
      <w:tr>
        <w:trPr/>
        <w:tc>
          <w:tcPr>
            <w:tcW w:w="3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561-961-1900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80" w:type="dxa"/>
        <w:jc w:val="left"/>
        <w:tblInd w:w="0" w:type="dxa"/>
        <w:tblLayout w:type="fixed"/>
        <w:tblCellMar>
          <w:top w:w="0" w:type="dxa"/>
          <w:left w:w="0" w:type="dxa"/>
          <w:bottom w:w="28" w:type="dxa"/>
          <w:right w:w="0" w:type="dxa"/>
        </w:tblCellMar>
      </w:tblPr>
      <w:tblGrid>
        <w:gridCol w:w="3710"/>
        <w:gridCol w:w="90"/>
        <w:gridCol w:w="1340"/>
        <w:gridCol w:w="90"/>
        <w:gridCol w:w="3650"/>
      </w:tblGrid>
      <w:tr>
        <w:trPr/>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90" w:type="dxa"/>
            <w:tcBorders/>
            <w:tcMar>
              <w:bottom w:w="0" w:type="dxa"/>
            </w:tcMar>
            <w:vAlign w:val="center"/>
          </w:tcPr>
          <w:p>
            <w:pPr>
              <w:pStyle w:val="TableContents"/>
              <w:bidi w:val="0"/>
              <w:spacing w:before="0" w:after="283"/>
              <w:jc w:val="left"/>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par value $0.001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TXMD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70"/>
        <w:gridCol w:w="260"/>
        <w:gridCol w:w="2255"/>
        <w:gridCol w:w="30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registrant’s most recently completed second fiscal quarter, the aggregate market value of the voting and non-voting common equity held by non-affiliates computed by reference to the market price at which the common equity was last sold was $9,036,147.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2026 there were outstanding 11,574,362 shares of the registrant’s common stock,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
        <w:gridCol w:w="708"/>
        <w:gridCol w:w="8316"/>
        <w:gridCol w:w="90"/>
        <w:gridCol w:w="486"/>
      </w:tblGrid>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Part I</w:t>
              </w:r>
            </w:hyperlink>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8316"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Business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8316"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1B.</w:t>
            </w:r>
          </w:p>
        </w:tc>
        <w:tc>
          <w:tcPr>
            <w:tcW w:w="8316"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Unresolved staff comments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1C.</w:t>
            </w:r>
          </w:p>
        </w:tc>
        <w:tc>
          <w:tcPr>
            <w:tcW w:w="8316"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Cybersecurity</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316"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Properties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316"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316"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Mine safety disclosures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left"/>
              <w:rPr/>
            </w:pPr>
            <w:hyperlink w:anchor="a_033">
              <w:r>
                <w:rPr>
                  <w:rStyle w:val="InternetLink"/>
                  <w:rFonts w:ascii="Times New Roman;Times;Serif" w:hAnsi="Times New Roman;Times;Serif"/>
                  <w:sz w:val="20"/>
                </w:rPr>
                <w:t>Part II</w:t>
              </w:r>
            </w:hyperlink>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8316"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Market for registrant’s common equity, related stockholder matters, and issuer purchases of equity securities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8316"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Reserved</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w:t>
            </w:r>
          </w:p>
        </w:tc>
        <w:tc>
          <w:tcPr>
            <w:tcW w:w="8316"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7A.</w:t>
            </w:r>
          </w:p>
        </w:tc>
        <w:tc>
          <w:tcPr>
            <w:tcW w:w="8316"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Quantitative and qualitative disclosures about market risk</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8.</w:t>
            </w:r>
          </w:p>
        </w:tc>
        <w:tc>
          <w:tcPr>
            <w:tcW w:w="8316"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Financial statements and supplementary data</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w:t>
            </w:r>
          </w:p>
        </w:tc>
        <w:tc>
          <w:tcPr>
            <w:tcW w:w="8316"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Changes in and disagreements with accountants on accounting and financial disclosure</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9A.</w:t>
            </w:r>
          </w:p>
        </w:tc>
        <w:tc>
          <w:tcPr>
            <w:tcW w:w="8316"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Controls and procedures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9B.</w:t>
            </w:r>
          </w:p>
        </w:tc>
        <w:tc>
          <w:tcPr>
            <w:tcW w:w="8316"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Other information</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9C.</w:t>
            </w:r>
          </w:p>
        </w:tc>
        <w:tc>
          <w:tcPr>
            <w:tcW w:w="8316"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Disclosure regarding foreign jurisdictions that prevent inspections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60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Part III</w:t>
              </w:r>
            </w:hyperlink>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10.</w:t>
            </w:r>
          </w:p>
        </w:tc>
        <w:tc>
          <w:tcPr>
            <w:tcW w:w="8316" w:type="dxa"/>
            <w:tcBorders/>
            <w:vAlign w:val="center"/>
          </w:tcPr>
          <w:p>
            <w:pPr>
              <w:pStyle w:val="TableContents"/>
              <w:bidi w:val="0"/>
              <w:spacing w:before="0" w:after="283"/>
              <w:jc w:val="left"/>
              <w:rPr/>
            </w:pPr>
            <w:hyperlink w:anchor="t_001">
              <w:r>
                <w:rPr>
                  <w:rStyle w:val="InternetLink"/>
                  <w:rFonts w:ascii="Times New Roman;Times;Serif" w:hAnsi="Times New Roman;Times;Serif"/>
                  <w:sz w:val="20"/>
                </w:rPr>
                <w:t>Directors, executive officers and corporate governance</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11.</w:t>
            </w:r>
          </w:p>
        </w:tc>
        <w:tc>
          <w:tcPr>
            <w:tcW w:w="8316"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Executive compensation</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12.</w:t>
            </w:r>
          </w:p>
        </w:tc>
        <w:tc>
          <w:tcPr>
            <w:tcW w:w="8316" w:type="dxa"/>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Security ownership of certain beneficial owners and management and related stockholder matters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13.</w:t>
            </w:r>
          </w:p>
        </w:tc>
        <w:tc>
          <w:tcPr>
            <w:tcW w:w="8316"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Certain relationships and related transactions, and director independence</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14.</w:t>
            </w:r>
          </w:p>
        </w:tc>
        <w:tc>
          <w:tcPr>
            <w:tcW w:w="8316"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Principal accountant fees and services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Part IV</w:t>
              </w:r>
            </w:hyperlink>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15.</w:t>
            </w:r>
          </w:p>
        </w:tc>
        <w:tc>
          <w:tcPr>
            <w:tcW w:w="8316"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Exhibits and financial statement schedules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w:t>
            </w:r>
          </w:p>
        </w:tc>
        <w:tc>
          <w:tcPr>
            <w:tcW w:w="8316" w:type="dxa"/>
            <w:tcBorders/>
            <w:vAlign w:val="center"/>
          </w:tcPr>
          <w:p>
            <w:pPr>
              <w:pStyle w:val="TableContents"/>
              <w:bidi w:val="0"/>
              <w:spacing w:before="0" w:after="283"/>
              <w:jc w:val="left"/>
              <w:rPr/>
            </w:pPr>
            <w:hyperlink w:anchor="a_026">
              <w:r>
                <w:rPr>
                  <w:rStyle w:val="InternetLink"/>
                  <w:rFonts w:ascii="Times New Roman;Times;Serif" w:hAnsi="Times New Roman;Times;Serif"/>
                  <w:sz w:val="20"/>
                </w:rPr>
                <w:t>Form 10-K summary</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Annual Report on Form 10-K (“2025 10-K Report”), the terms “we,” “us,” “our,” “TherapeuticsMD,” “the Company,” or “our company” refer to TherapeuticsMD, Inc., a Nevada corporation, and unless specified otherwise, include our wholly owned subsidiaries vitaMedMD, LLC, a Delaware limited liability company (“vitaMed”), and BocaGreenMD, Inc., a Nevada corporation (“BocaGreen”).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is a pharmaceutical royalty company that owns or has rights to trademarks, service marks, or trade names that were previously used in connection with the operation of its business, or are now licensed by another party, including TherapeuticsMD®, vitaMedMD®, BocaGreenMD®, BIJUVA®, and IMVEXXY®, which are protected under applicable intellectual property laws and are the property of the Company. This 2025 10-K Report also contains trademarks, trade names and service marks of other companies, which are the property of their respective owners. Solely for convenience, trademarks, trade names and service marks referred to in this 2025 10-K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2025 10-K Report includes market and industry data that we obtained from periodic industry publications, third-party studies and surveys, government-agency sources, filings of public companies in our industry, and internal-company surveys. Industry publications and surveys generally state that their information has been obtained from sources believed to be reliable. Although we believe that the industry and market data below is reliable as of the date of this 2025 10-K Report, this information could prove to be inaccurate as a result of a variety of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2025 10-K Report contains forward-looking statements within the meaning of the Private Securities Litigation Reform Act of 1995. These forward-looking statements involve substantial risks and uncertainties. For example, statements regarding our operations, financial position, business strategy, exploration of potential strategic alternatives, and other plans and objectives for future operations, and assumptions and predictions about future demand, marketing, expenses and sales are all forward-looking statements. These statements may be found in the items of this 2025 10-K Report entitled “Business” and “Management’s Discussion and Analysis of Financial Condition and Results of Operations,” as well as in this 2025 10-K Report generally. These statements are generally accompanied by words such as “intend,” “anticipate,” “believe,” “estimate,” “potential(ly),” “continue,” “forecast,” “predict,” “plan,” “may,” “will,” “could,” “would,” “should,” “expect,” or the negative of such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of this 2025 10-K Report, but we cannot assure you that these assumptions and expectations will prove to have been correct or that we will take any action that we may presently be planning. These forward-looking statements are inherently subject to known and unknown risks and uncertainties. Actual results or experience may differ materially from those expected or anticipated in the forward-looking statements. Factors that could cause or contribute to such differences include, but are not limited to, competition from other businesses, market and general economic factors, and the other risks discussed in Item 1A of this 2025 10-K Report. This discussion should be read in conjunction with the consolidated financial statements and notes thereto included in this 2025 10-K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some of the important factors that could cause future events to differ from our current expectations and they are described in this 2025 10-K Report in the section entitled “Risk Factors” that you should review carefully. Please consider our forward-looking statements in light of those risks as you read this 2025 10-K Report. If one or more of these or other risks or uncertainties materialize, or if our underlying assumptions prove to be incorrect, actual results may vary materially from what we project. We do not undertake to update any forward-looking statements or to publicly announce the results of any revisions to any statements to reflect new information or future events or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(“Mayne Pharma Group”),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(the “Minimum Annual Royalty”).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Mayne Pharma reduced the second quarterly royalty payment otherwise payable to us by an additional $0.6 million, and in August 2023 we remitted the remaining consideration of $0.9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Discontinued Operations” to the consolidated financial statements included in this 2025 10-K Report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license agreements with strategic partners to commercialize IMVEXXY and BIJUVA outside of the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June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of the Mayne Transaction, we repaid all obligations under the Financing Agreement, dated as of April 24, 2019, as amended, with Sixth Street Specialty Lending, Inc., as administrative agent, the various lenders from time-to-time party thereto, and certain of our subsidiaries party thereto from time to time as guarantors (the “Financing Agreement”) and the Financing Agreement was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capital to provide additional liquidity to fund our operations.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at a purchase price of the five-day volume-weighted average price of the Common Stock at the time of the sale of such shares of Common Stock, at an aggregate purchase price of up to $5,000,000. On June 29, 2023, we issued and sold 312,525 shares of Common Stock at a price per share equal to $3.6797 pursuant to the Subscription Agreement. We received gross proceeds of $1.15 million from the draw-down, before expenses. On November 15, 2023, Rubric drew an additional 877,192 shares of Common Stock at a price per share equal to $2.2761. We received gross proceeds of $2.0 million from the draw-down before expenses. There were no drawdowns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included in this 2025 10-K Report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of our royalty-bearing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assigned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IMVEXXY (estradiol vaginal inserts), 4-μg and 10-μg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for the treatment of moderate-to-severe dyspareunia (vaginal pain associated with sexual activity), a symptom of vulvar and vaginal atrophy due to menopause. As part of the FDA’s approval of IMVEXXY, we committed to conduct a post-approval observational study to evaluate the risk of endometrial cancer in post-menopausal women with a uterus who use a low-dose vaginal estrogen unopposed by a progestogen.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BIJUVA (estradiol and progesterone) capsules, 1 mg/100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ANNOVERA (segesterone acetate (“SA”) and ethinyl estradiol (“EE”) vaginal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a one-year ring-shaped contraceptive vaginal system (“CVS”) and the first and only patient-controlled, procedure-free, reversible prescription contraceptive that can prevent pregnancy for up to a total of 13 cycles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assigned our exclusive license to commercialize ANNOVERA in the United States and its possessions and territories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Prenatal vitamin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dependent on third parties achieving specified milestones and product sales. For information on the concentration of licenses of our products, see “Note 9. Revenue” to the consolidated financial statements included in this 2025 10-K Report. Currently, the Company collects license revenue from three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markets in which we license our products are not subject to seasonal sales fluctuations. However, our license revenues for the first quarter of each year can be negatively affected by the annual reset of high-deductible commercial insurance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of our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30, 2022, we were no longer responsible for any manufacturing and have no manufacturing contracts. All manufacturing responsibility of our licensed and assigned products has been transferred to our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30, 2022, we no longer conduct any research and development activities. Historically, our product development programs were concentrated in advanced hormone therapy pharmaceutical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obtain patents, maintain trade-secret protection, and operate without infringing the proprietary rights of others. Our intellectual property portfolio is one way we attempt to protect our competitive position. We rely primarily on a combination of know-how, trade secrets, patents, trademarks, and contractual restrictions to protect our products and to maintain our competitive position. We are diligently seeking ways to protect our intellectual property through various legal mechanisms in relevant jurisdictions. Where permitted, patents for our hormone therapy drug products have been submitted to the FDA’s Approved Drug Products with Therapeutic Equivalence Evaluations (commonly known as the Orange Book).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have many domestic and foreign patents that cover our licensed products, including many for each of BIJUVA and IMVEXXY that are Orange Book listed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multiple U.S. trademark registrations and have numerous pending trademark applications. Issuance of a federally registered trademark creates a rebuttable presumption of ownership of the mark; however, it is subject to challenge by others claiming first use in the mark in some or all the areas in which it is used. Federally registered trademarks have a perpetual life so long as they are maintained and renewed on a timely basis and used properly as trademarks, subject to the rights of third parties to seek cancellation of the trademarks if they claim priority or confusion of usage. We believe our patents and trademarks are valuable and provide us certain benefits in marketing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protect our intellectual property with patents, trademarks, trade secrets, or other legal avenues for the protection of intellectual property and to aggressively prosecute, enforce, and defend our patents, trademarks, and proprietary technology, including those licensed by Mayne Pharma, Knight and Theramex, with our licensees to the extent permitted under their respective license agreements. The loss, by expiration or otherwise, of any one patent may have a material effect on our business. Defense and enforcement of our intellectual property rights can be expensive and time consuming, even if the outcome is favorable to us. It is possible that the patents issued or licensed to us will be successfully challenged, that a court may find that we are infringing on validly issued patents of third parties, or that we may have to alter or discontinue the development of our products or pay licensing fees to account for patent rights of third parties. See “– Pharmaceutical Regulation – Regulatory Exclusivity” below for information regarding our intellectual property and challenges to that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seek broad coverage under our patent applications, there is always a risk that an alteration to the process may provide sufficient basis for a competitor to avoid infringement claims. In addition, patents expire, and we cannot provide any assurance that any patents will be issued from our pending application or that any potentially issued patents will adequately protect our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licensed US patents and trademarks for our commercial products. Under the terms of the Mayne License Agreement, Mayne Pharma exclusively took over prosecution of our US patent and trademark portfolio and enforcement of our licensed patents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FDA regulates pharmaceuticals, biologics, medical devices, dietary supplements, and cosmetics under the Federal Food, Drug, and Cosmetic Act (“FDCA”) and its implementing regulations. Although we are not currently engaged in research, development, manufacturing, or commercial distribution activities, the products from which we derive royalties are also subject to other federal, state, and local statutes and regulations, including federal and state consumer protection laws, laws regarding pricing transparency, laws requiring the implementation of compliance programs, laws requiring the reporting of payments or other transfers of value to HCPs or other healthcare professionals, laws governing the financial relationships between manufacturers and HCPs or other referral sources and industry stakeholders, laws protecting the privacy of health-related information, laws restricting items and services of value provided to patients, and laws prohibiting unfair and deceptive acts and trade practices. See also “Item 1A. Risk Factors – Risks related to our business” for a discussion, among other things, of the extensive and costly governmental regulation we are subject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required by the FDA before a new drug product may be marketed in the U.S. generally involves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completion of or reference to extensive preclinical laboratory tests and preclinical animal studies, all performed in accordance with the FDA’s Good Laboratory Practice, or GLP,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the FDA of an investigational new drug (“IND”) application under which the holder may begin conducting human clinical trials, provided that the FDA does not object; the IND must be updated annually;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adequate and well-controlled human clinical trials to establish the safety and efficacy of the drug candidate for each proposed indication; and</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05"/>
        <w:gridCol w:w="200"/>
        <w:gridCol w:w="8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the FDA of a new drug application (“NDA”) after completion of all pivotal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 application is a request for authorization from the FDA to administer an investigational drug product to humans.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as the holder of the approved NDAs for our licensed products, is required to comply with several post-approval requirements for our currently approved drug products. We no longer have responsibility for any post-approval requirements, although regulatory actions affecting these products could materially affect our royalty revenues. As the holder of an approved NDA, Mayne Pharma is required to report, among other things, certain adverse reactions and production problems to the FDA, to provide updated safety and efficacy information, to adhere to product sampling and distribution requirements, fulfill post-marketing study commitments, and to comply with requirements concerning advertising and promotional labeling for any of our drug products, which include, among other things, standards for direct-to-consumer advertising, restrictions that prohibit promoting products for certain uses or in patient populations that are not described in the product’s approved indications or that are not otherwise consistent with the approved, FDA-required label (known as “off-label use”), limitations on industry-sponsored scientific and educational activities,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quality control and manufacturing procedures must continue to conform to cGMPs to ensure and preserve the long-term stability of the drug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depending on the nature and scope of their activities, subject to FDA and certain state agency requirements relating to establishing and maintaining product quality.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production and quality control to maintain compliance with cGMP and other aspects of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rely, and expect to continue to rely, on third parties to produce commercial quantities of our licensed drugs. Future FDA and state inspections may identify compliance issues at the facilities of the manufacturers of our licensed products that may disrupt production or distribution or require substantial resources to correct. In addition, discovery of previously unknown problems (for example, through adverse events observed in the post-marketing context, or in Phase 4/post-marketing studies) with a product or the failure to comply with applicable requirements may result in restrictions on a product, manufacturer, or holder of an approved NDA, including withdrawal or recall of the product from the market or other voluntary, FDA-initiated or judicial action that could delay or prohibit further marketing.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types of NDAs available under Section 505(b) of the FDCA. Section 505(b)(1) of the FDCA provides a marketing approval pathway that is known as the “traditional” or “full” NDA process. Sponsors use 505(b)(1) applications to obtain marketing approval of a new drug with active ingredients that have not previously been approved by FDA. The data package necessary for approval of this new drug requires demonstration of safety and efficacy based on adequate and well controlled human clinical trials conducted by or for the sponsor, without allowance for reference to third party data. In contrast, Section 505(b)(2) of the FDCA provides an alternative NDA process for approving a new drug that contains the same active ingredient as a previously approved product but allows sponsors to rely on clinical trials not conducted by or for the sponsor, as well as other clinical data or literature produced by other parties. In addition, Section 505(j) of the FDCA provides for a significantly shortened regulatory pathway for approval of a “generic” version of a new drug, by way of an Abbreviated New Drug Application (“ANDA”). Rather than demonstrating safety and effectiveness as required for an NDA, the ANDA requires proof that the generic drug is the “same” as or “bioequivalent” to the new drug under the standard of “bioequivalence,” often using pharmacokinetic, pharmacodynamic, and/or in vitro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505(b) NDA applicant may be eligible for its own regulatory exclusivity period, such as a five-year or three-year exclusivity. The first approved Section 505(b) NDA applicant for a drug containing an active ingredient that has not previously been approved in any other 505(b) NDA (a “new chemical entity,” or “NCE”), is eligible for a five-year NCE exclusivity period starting on the date of the NDA approval. An ANDA or 505(b)(2) application for a drug containing the protected active ingredient of the NCE product generally cannot be submitted to FDA until the end of the five-year exclusivity period, except that such applications can be submitted at year four if the product is covered by an Orange Book listed patent and the ANDA or 505(b)(2) NDA includes a Paragraph IV Certification challenging such patent. Additional exclusivities may also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approved Section 505(b) NDA applicant for a particular condition, or a supplemental NDA approval for a change to a marketed product, such as a new extended-release formulation for a previously approved product, may be eligible for a three-year Hatch-Waxman exclusivity if one or more new clinical studies, other than bioavailability or bioequivalence studies, was essential to the approval of the application and was conducted or sponsored by the applicant. Should this occur, the FDA would be precluded from granting final approval to any ANDA or 505(b)(2) application for the same condition of use or change to the marketed product that was granted exclusivity until after that three-year exclusivity period has run.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any ANDA or 505(b)(2) NDA that references the 505(b) product must include one of several types of patent certifications. If the Section 505(b) NDA drug has one or more unexpired patents listed in the Orange Book, an ANDA or 505(b)(2) NDA must include either a “Paragraph III Certification” or a “Paragraph IV Certification.” A Paragraph III Certification identifies the expiration date of the listed patent and requires FDA to withhold final approval until that patent has expired. A “Paragraph IV Certification” states that, in the applicant’s opinion, the relevant patent is invalid, unenforceable, or would not be infringed by the commercial marketing of the proposed ANDA or 505(b)(2) NDA product. The sponsor of a Paragraph IV ANDA or 505(b)(2) NDA must also provide the holder of the marketed product NDA, and the owner of the challenged patent, with notification of the Paragraph IV filing along with a detailed statement of the reasons the applicant believes the patent is invalid, unenforceable, or would not be infringed. If the patent owner brings an infringement action against the Paragraph IV applicant within 45 days of the notification, a statutory stay is imposed which prevents FDA from granting final approval of the Paragraph IV application for 30 months from the date of the Paragraph IV Notification. Generally, no more than one 30-month stay may be applied against any specific Paragraph IV ANDA or 505(b)(2) NDA. A 30-month stay can be terminated early, and the Paragraph IV application can be immediately approved, if the district court rules in favor of the Paragraph IV applicant that the patent is invalid, unenforceable, or would not be infringed.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ANDA submitted to FDA by Teva Pharmaceuticals USA, Inc. (“Teva”). See “Legal Proceedings” in Item 3 of this 2025 10-K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we received a Paragraph IV certification notice letter (the “BIJUVA Notice Letter”) regarding an ANDA submitted to FDA by Amneal Pharmaceuticals (“Amneal”). In April 2020, we filed a complaint for patent infringement against Amneal in the U.S. District Court for the District of New Jersey arising from Amneal’s ANDA filing with FDA. In December 2021, we entered into a settlement agreement (the “Settlement Agreement”) with Amneal Pharmaceuticals, Inc., Amneal Pharmaceuticals, LLC and Amneal Pharmaceuticals of New York LLC (collectively “Amneal”) to resolve the litigation over our patents listed in FDA’s Orange Book that claim compositions and methods of BIJUVA (the “BIJUVA Patents”). Under the terms of the Settlement Agreement, the Company granted Amneal a non-exclusive, non-transferable, royalty-free license to commercialize Amneal’s generic formulation of BIJUVA in the U.S. commencing in May 2032 (180 days before the current expiration date in November 2032 for the last to expire of our BIJUVA Patents), or earlier under certain circumstances customary for settlement agreements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U.S. healthcare laws and compliance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federal and state healthcare laws and regulations pertaining to fraud and abuse and patients’ rights, among other topics, are and will be applicable to our business. Our licensees and the licensed products are subject to regulation by both the federal government and the states in which we or our partners conduct our business. The healthcare laws and regulations that may affect our licensees’ ability to operate and our ability to receive licensing revenues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federal Anti-Kickback Statute, which prohibits, among other things, any person or entity from knowingly and willfully offering, soliciting, receiving or providing any remuneration (including any kickback, bribe or rebate), directly or indirectly, overtly or covertly, in cash or in kind, to induce either the referral of an individual or in return for the purchase, lease, or order of, or the arranging for, any good, facility item or service, for which payment may be made, in whole or in part, under federal healthcare programs such as the Medicare and Medicaid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civil and criminal false claims laws and civil monetary penalty laws, including, for example, the federal civil False Claims Act, which impose criminal and civil penalties, including civil whistleblower or qui tam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and their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the federal physician sunshine requirements under the Patient Protection and Affordable Care Act (“ACA”), which require certain manufacturers of drugs, devices, biologics and medical supplies for which payment is available under Medicare or Medicaid to report annually to the Centers for Medicare &amp; Medicaid Services information related to payments and other transfers of value provided to physicians and teaching hospitals, and ownership and investment interests held by physicians and their immediate family members. In 2022, the Sunshine Act was extended to payments and transfers of value to physician assistants, nurse practitioners, and other mid-level practitioners (with reporting requirements going into effect in 2022 for payments made in 2021). In addition, Section 6004 of the ACA requires annual reporting of information about drug samples that manufacturers and authorized distributors provide to healthcare providers;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and state laws requiring pricing transparency or limiting price increases, which are in existence today or are anticipated to be in existence in the near future, may limit the ability to raise prices, require disclosure of price increases or require disclosure of the wholesale acquisition cost of pharmaceutical products to governmental agencies and consumers;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law equivalents of each of the above federal laws, such as anti-kickback and false claims laws, which may apply to items or services reimbursed by any third-party payer, including commercial insurers or even self-pay; state laws that require pharmaceutical companies to comply with the pharmaceutical industry’s voluntary compliance guidelines and the applicable compliance guidance promulgated by the federal government, or otherwise restrict payments that may be provided to healthcare providers and other potential referral sources; state laws that require drug manufacturers to report information related to payments and other transfers of value to healthcare providers or marketing expenditures; state laws requiring a license, registration or permit to engage in manufacturing and distribution of prescription products or to engage in the practice of pharmacy; and state laws governing the privacy and security of health information in certain circumstances, many of which differ from each other in significant ways and may not have the same effect,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company interactions with HCPs, patient advocacy groups, and patients, including with respect to product and patient assistance programs and other education and support initiatives, have been and continue to be, the subject of regulatory scrutiny for compliance with fraud and abuse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breadth of these laws and the narrowness of the statutory exceptions and safe harbors available, it is possible that some of the business activities of the entities with whom we do business could be subject to challenge under one or more of such laws. Efforts to ensure that our business arrangements with third parties comply with applicable healthcare laws and regulations could be costly. Although we no longer engage in commercial promotional activities, if our past operations, including activities conducted by our sales team or agents, are found to be in violation of any of these laws or any other governmental regulations that may apply to us, we may be subject to significant civil, criminal, and administrative penalties, damages, fines, exclusion from third-party payer programs, such as Medicare and Medicaid, and the curtailment or restructuring of our operations. If any of the HCPs, providers, or entities with whom we do business are found to not be in compliance with applicable laws, they may be subject to criminal, civil, or administrative sanctions, including exclusion from government funded healthcare programs.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aspects of these laws have not been definitively interpreted by the regulatory authorities or the courts, and their provisions are open to a variety of subjective interpretations that increases the risk of potential violations. In addition, these laws and their interpretations are subject to change. Any action against us for violation of these laws, even if we successfully defend against it, could cause us to incur significant legal expenses, divert our management’s attention from the operation of our business, and damage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fraud and abuse laws, we continue to monitor the potential impact of proposals to change prescription drug costs at the federal and state level.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U.S. directed at broadening the availability of healthcare and containing or lowering the cost of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in the future, our licensees and the licensed products may become subject to additional laws or regulations administered by the FDA, the FTC, U.S. Department of Health and Human Services (“HHS”), or by other federal, state, local, or foreign regulatory authorities, or the repeal of laws or regulations that we generally consider favorable, such as DSHEA, or to more stringent interpretations of current laws or regulations. We are not able to predict the nature of such future laws, regulations, repeals, or interpretations, and we cannot predict what effect additional governmental regulation, if and when it occurs, would have on our business in the future. 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we maintain our principal executive offices at 951 Yamato Road, Suite 220, Boca Raton, Florida 33431. Our telephone number is (561) 961-1900. We maintain a corporate website at www.therapeuticsmd.com. The information contained on our website or that can be accessed through our website is not incorporated by reference into this 2025 10-K Report or in any other report or document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You should carefully consider the following risk factors, together with all of the information included in this 2025 10-K Report and our other filings with the SEC, before you decide to purchase shares of our common stock. We believe the risks and uncertainties described below are the most significant we face.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and uncertainties. The following is a summary of the principal risk factors described in this section: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currently derive all of our revenues from royalties related to sales of our products, and the failure of our licensees to maintain or increase sales of these products could have an adverse effect on our business, financial condition, results of operations, and growth prospects.</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and may not be able to maintain or increase profitability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substantial doubt about 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dependence upon third parties for the manufacture and supply of our women’s healthcare products may cause delays in, or prevent our licensees from, successfully commercializing and marketing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commercial success of our products will depend upon gaining and retaining significant market acceptance of these products among physicians and payers.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Coverage and reimbursement may not be available for our products, which could make it difficult for our licensees to sell our products profitably.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revenue, results of operations and financial position could be affected by our ongoing disputes with Mayne Pharma.</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and costs associated with winding down our general and administrative, commercial, and research and development activities may be significant.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could be affected by transitions in our senior management team.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sublease our properties, which could expose us to possible liabilities and losses.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Licensing of intellectual property involves complex legal, business and scientific issues, and disputes could jeopardize our rights under such agreements.</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products and our licensees are subject to extensive government regulation.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rely on Mayne Pharma to prosecute, file lawsuits, or take other actions to protect or enforce our intellectual property, and Mayne Pharma may not take such actions or be successful.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efforts to protect the proprietary nature of the intellectual property covering our hormone therapy pharmaceutical products and other products are not adequate, our licensees may not be able to compete effectively in the market, which would adversely affect our royalties.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products face significant competition from branded and generic products, and our operating results will suffer if our products fail to compete effectively.</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5"/>
        <w:gridCol w:w="200"/>
        <w:gridCol w:w="5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success is tied to the distribution channels of our licensees.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failure of our licensees to adequately maintain a sales force or effectively implement sales strategies will impede our growth.</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5"/>
        <w:gridCol w:w="200"/>
        <w:gridCol w:w="6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success depends on our ability to attract and retain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failure to maintain compliance with Nasdaq’s continued listing requirements could result in the delisting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derive all revenue from royalties related to sales of our licensed women’s healthcare products, and the failure of our licensees to maintain or increase sales of these products could have an adverse effect on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Mayne Transaction, we derive all revenue from royalties related to sales of our women’s healthcare products, including patient-controlled, long-acting contraceptive, hormone therapy pharmaceutical products, prenatal and women’s multi-vitamins, and iron supplements. We cannot assure you that our licensees will be able to sustain such sales or that such sales will grow. In addition to other risks described herein, the ability of our licensees to maintain or increase existing product sales is subject to several risks and uncertainties, including the following:</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05"/>
        <w:gridCol w:w="200"/>
        <w:gridCol w:w="8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presence of new or existing competing products, including non-authorized generic copies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105"/>
        <w:gridCol w:w="200"/>
        <w:gridCol w:w="7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supply or distribution problems arising with any of their manufacturing and distribution partners;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05"/>
        <w:gridCol w:w="200"/>
        <w:gridCol w:w="63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changed or increased regulatory restrictions or regulatory actions by the FDA;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healthcare laws and policy, including changes in requirements for drug pricing, rebates, reimbursement, and coverage by federal healthcare programs and commercial payers;</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05"/>
        <w:gridCol w:w="200"/>
        <w:gridCol w:w="71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or efficacy of any price increases our licensees may implement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to the licensed products’ labels and labeling, including new safety warnings or changes to boxed warnings, that further restrict how our licensees’ market and sell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our products as safe and effective by physicians and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revenue from royalties related to sales of our products does not increase, we may be required to seek to raise additional funds, which could have an adverse effect on our business, financial condition, results of operations, and growth prospects. In addition, our revenue from royalties is based on information compiled by, and received from, our licensees. If the sales information provided by our licensees is erroneous, it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net losses in the past and may not be able to maintain or increase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incurred recurring net losses, including net losses of $569 thousand and $2.2 million for 2025 and 2024, respectively. In 2022, we recognized net income of $112.0 million due to the net proceeds from the Mayne Transaction and divestiture of our former subsidiary vitaCare Prescription Services, Inc. (“vitaCare”) exceeding our costs and expenses. We utilized most of the net proceeds to repay borrowings and redeem our preferred stock. As of December 31, 2025, our stockholders’ equity was $26.9 million. We have funded our operations to date primarily through revenue from licensed royalties, public offerings of our common stock and private placements of equity and debt securities and the transactions with Mayne Pharma. We may incur substantial additional losses over the next few years because of costs associated with the wind down of our historical business as well as the ongoing costs of being a public company.  As a result, we may not maintain or increase profitability. If we continue to incur substantial losses, because the royalties of our products are insufficient or otherwise, and are unable to secure additional financing, we could be forced to discontinue or curtail our business operations,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liquidity position raises substantial doubt about our ability to continue as a going concern and Carr, Riggs &amp; Ingram, L.L.C, our independent registered public accounting firm for the fiscal year ended December 31, 2025, has included an explanatory paragraph in their opinion that accompanies our audited consolidated financial statements as of and for the year ended December 31, 2025, indicating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$7.5 million in cash and cash equivalents. Our ability to fund operations over the next twelve months is dependent upon, among other things, continued receipt of royalty payments under the Mayne License Agreement, resolution of the Mayne Lawsuits on terms that do not materially adversely affect our liquidity, and our ability to minimize operating expenses. An adverse outcome in the Mayne Lawsuits could result in significant damages, indemnification obligations, offsets against future royalty payments, or other relief that could materially reduce our available cash and expected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IMVEXXY, BIJUVA, or ANNOVERA grow more slowly than expected or decline, if the net working capital settlement with Mayne Pharma under the Transaction Agreement is greater than our current estimates, if we are unsuccessful with future financings or if the supply chains related to the third-party contract manufacturers are worse than we anticipate, our existing cash reserves may be insufficient to satisfy our liquidity requirements. Our ability to continue as a going concern may depend on our ability to obtain additional capital. As substantial doubt about our ability to continue as a going concern exists, our ability to finance our operations through the sale and issuance of debt or equity securities or through bank or other financing could be impaired. Our ability to obtain financing on reasonable terms is subject to factors beyond the Company’s control, including general economic, political, and financial market conditions. The capital markets have in the past experienced, are currently experiencing, and may in the future experience, periods of upheaval that could impact the availability and cost of equity and debt financing and such financing may not be available on terms commercially acceptable to the Company, or at all. If we are unable to improve our liquidity position, we may be required to significantly reduce operating expenses, seek additional equity or debt financing that may be materially dilutive, sell assets, enter into strategic transactions or pursue other alternatives, any of which may be unfavorable to our stockholders. If we are unable to implement such measures, we may not be 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significant turnover in our top executives, and our business could be adversely affected by these and other transitions in our senior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turnover in our top executives and the replacement of these positions with new officers. In December 2022, following the Mayne Transaction, all our top executives, except for our former General Counsel, were terminated, and our former General Counsel was appointed as Chief Executive Officer. In August 2023, our former Principal Financial and Accounting Officer resigned and was replaced with a new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transition is often difficult and inherently causes some loss of institutional knowledge, which could negatively affect the results of operations and financial condition. Our ability to execute our business strategies may be adversely affected by the uncertainty associated with these transitions and the time and attention of the board and management dedicated to management transitions could disrupt our business. Further, we cannot guarantee that we will not face similar turnover in the future. Although we generally enter into employment agreements with our executives, our executive officers may terminate their employment relationship with us at any time, and we may not be able to retain the services of any of them. Our senior management’s knowledge of our business and industry could be difficult to replace, and management turnover could negatively affect our business, growth, financial conditions,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depend on the services of Marlan D. Walker as our Chief Executive Officer and sole employee. Should we lose Mr. Walker due to death, disability, retirement or otherwise, such loss could adversely affect our business, management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Walker is presently our sole employee and we are therefore dependent upon Mr. Walker, who works for us as an at will employee. Mr. Walker may terminate his employment with us at any time and we cannot guarantee that we would be able to hire a similarly qualified executive if he should choose to leave. We do not currently maintain key person life insurance on Mr. Walker. Any change in Mr. Walker’s involvement with our Company may negatively affect our business, management and operations. The loss of his services could be detrimental to the business and could force us to no longer operate. Our future success could depend in part on our ability to retain Mr. Walker.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upon third parties for the manufacture and supply of our existing women’s healthcare products may cause delays in or prevent our licensees from successfully commercializing and marketing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nor do we currently plan to build or acquire, the infrastructure or capability to internally manufacture our existing women’s healthcare products, IMVEXXY, BIJUVA, and ANNOVERA. We have relied, and will continue to rely, on third parties to manufacture these products in accordance with specifications and in compliance with applicable regulatory requirements, including the FDA’s current Good Manufacturing Practice (“cGMPs”). We entered into long-term supply agreements with Catalent Pharma Solutions, LLC for the commercial supply of IMVEXXY and BIJUVA which have been assigned to Mayne Pharma. We also entered into a long-term supply contract with QPharma AB, now known as Sever Pharma Solutions, for ANNOVERA, which contract was also assigned to Mayne Pharma. We depended on Lang, a full-service, private label and corporate brand manufacturer, to supply our vitaMedMD and BocaGreen products. We do not have long-term contracts for the commercial supply of our vitaMedMD and BocaGreen products. We believe that our licensees evolved these relationships based on the products they licensed from us. We continue to provide support for the third-party manufacturers and our licensees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requirements could pose barriers to the manufacture of our women’s healthcare products. All of our existing products are manufactured by third-party contract manufacturing organizations (“CMOs”). These CMOs are required to manufacture our products in compliance with the applicable regulatory requirements. The CMO that manufactures IMVEXXY and BIJUVA has previously been inspected by the FDA and received Form 483 observations with respect to its softgel manufacturing plant that is used for the manufacture of the commercial supply of IMVEXXY and BIJUVA. The CMO that manufactures ANNOVERA has previously been inspected by the FDA and received Form 483 observations with respect to its facility that is used for the commercial supply of ANNOVERA. We believe that corrective actions to address the compliance issues identified in the referenced Forms 483 have been implemented by the CMOs and that the CMOs continue to have the right to manufacture under current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manufacturers of our products cannot successfully manufacture material that conforms to specifications and the strict regulatory requirements of the FDA and any applicable foreign regulatory authority, regulatory submissions related to our products may be delayed or disapproved, and our marketed products may be affected. If these facilities are not in compliance for the manufacture of our products, our licensees may need to find alternative manufacturing facilities, which would result in substantial disruptions of sales of our products. In addition, manufacturers of our products will be subject to ongoing periodic unannounced inspections by the FDA and corresponding state and foreign agencies for compliance with cGMPs and similar regulatory requirements. Failure by any of the manufacturers of our products to comply with applicable cGMP regulations or other applicable requirements could result in sanctions being imposed on us or our licensees, including fines, injunctions, civil penalties, violation letters, delays, suspensions or withdrawals of approvals, operating restrictions, interruptions in supply, recalls, withdrawals, issuance of safety alerts, and criminal prosecutions, any of which could have an adverse impact on our business, financial condition, results of operations, and prospects. Our licensees may seek to enter into long-term agreements with alternative manufacturers on commercially reasonable terms, and if they do enter into agreements with alternative manufacturers, those alternative manufacturers may not be approved by the FDA or subsequently lose FDA approval to manufacture our drugs, any of which could have an adverse impact on our business. We also could experience manufacturing delays if our CMOs give greater priority to the supply of other products over our products to the delay or other detriment of our products, or otherwise do not satisfactorily perform according to the terms of their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in the past experienced a greater than expected amount of raw materials for ANNOVERA being out of specification. If any of the third-party CMOs of our products or any suppliers of raw materials or API experience further difficulties, do not comply with the terms of their agreements, or do not devote sufficient time, energy, and care to providing our manufacturing needs, or if any manufacturing specification modifications that we or Mayne Pharma have requested are not approved by the FDA, we could experience additional interruptions in the supply of our products, which may have a material adverse impact on our revenue,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may not have long-term contracts for the supply of all the API used in BIJUVA, and ANNOVERA. If any supplier of the API or other products used in our products experiences any significant difficulties in its respective manufacturing processes, chooses to cease supplying, or does not devote sufficient time, energy, and care to providing our manufacturing needs, we could experience significant interruptions in the supply of our products, which could impair our licensee’s ability to supply our products at the levels required for commercialization and prevent or delay their successful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commercial success of our existing products will depend upon gaining and retaining significant market acceptance of these products among physicians and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Physicians may not prescribe our products, which would prevent us from generating revenue or becoming profitable. Market acceptance of our products, including our hormone therapy pharmaceutical products and patient-controlled, long-acting contraceptive, by physicians, patients, and payers, will depend on a number of factors, many of which are beyond our control,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clinical indications for which our hormone therapy pharmaceutical products and patient-controlled, long-acting contraceptive are approved;</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by physicians and payers of each product as a safe and effective treatment;</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05"/>
        <w:gridCol w:w="200"/>
        <w:gridCol w:w="9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 of treatment in relation to alternative treatments, including numerous generic pharmaceutical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relative convenience and ease of administration of our products in the treatment of the symptoms for which they are intended;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availability and efficacy of competitive drugs and devices;</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effectiveness of our licensee’s sales force and marketing efforts;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to which the product is approved for inclusion on formularies of hospitals and managed care organizations, including any access barriers such as prior authorizations and step-edits;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availability of coverage and adequate reimbursement by third parties, such as insurance companies and other healthcare payers, or by government healthcare programs, including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or warnings contained in a product’s FDA-approved labeling; and</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05"/>
        <w:gridCol w:w="200"/>
        <w:gridCol w:w="38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prevalence and severity of adverse side effects.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medical community accepts that our products are safe and effective for their approved indications, physicians may not immediately be receptive to their use or may be slow to adopt our products as an accepted treatment for the symptoms for which they are intended. Labeling approved by the FDA may not permit our licensees to promote our products as being superior to competing products, because the FDA applies a heightened level of scrutiny to comparative claims when applying its statutory standards for advertising and promotion, including with regard to its requirements for supporting data and that promotional labeling be truthful and not misleading, and there is potential for differing interpretations of whether certain communications are consistent with a product’s FDA-required labeling. If our products do not achieve an adequate level of acceptance by physicians and payers, we may not generate sufficient or any revenue from royalties related to sales of these products. In addition, the efforts of our licensees to educate the medical community and third-party payers on the benefits of our products may require significant resources and may never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reimbursement may not be available for our products, which could make it difficult for our licensees to sell our products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sales of our products, including IMVEXXY, BIJUVA, and ANNOVERA, and our prescription vitamins, will depend on coverage and reimbursement policies and may be affected by healthcare reform measures. Government healthcare programs and third-party payers decide which prescription pharmaceutical products they will pay for and establish reimbursement levels. Payers generally do not cover OTC products, and coverage for prescription vitamins and dietary supplements varies. Many private third-party payers, such as managed care plans, manage access to pharmaceutical products’ coverage partly to control costs to their plans, and may use drug formularies and medical policies to limit their exposure. Factors considered by these payers include product efficacy, cost effectiveness, and safety, as well as the availability of other treatments including generic prescription drugs. The ability to commercialize IMVEXXY, BIJUVA, and ANNOVERA successfully depends on coverage and reimbursement levels set by government healthcare programs and third-party private payers. Obtaining and maintaining favorable reimbursement can be a time-consuming and expensive process, and our licensees may not be able to negotiate or continue to negotiate reimbursement or pricing terms for our products with payers at levels that are profitable to them,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the U.S. and some foreign jurisdictions, there have been several legislative and regulatory proposals to change the healthcare system in ways that could affect our licensees’ ability to sell our products profitably. 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(“ASP”), which is used to determine the Medicare Part B payment rate for the drug. The federal government sets general guidelines for Medicaid and requires rebates on outpatient drugs. Each state creates specific regulations that govern its individual program, including supplemental rebate programs that prioritize coverage for drugs on the state Preferred Drug List. In the United States, private health insurers and other third-party payers often provide reimbursement for products and services based on the level at which the government provides reimbursement through the Medicare or Medicaid programs for such products and services. In addition, government programs like Medicaid include substantial penalties for increasing commercial prices over the rate of inflation which can affect realization and return on investment. The cost of pharmaceuticals continues to generate substantial governmental and third-party payer interest and states have begun to take action to increase transparency in drug pricing through mandatory reporting requirements. The pharmaceutical industry and our licensees may experience pricing pressures in connection with the sale of our products generally due to the trend toward managed healthcare, the increasing influence of health maintenance organizations, the scrutiny of pharmaceutical pricing, the ongoing debates on reducing government spending and additional legislative proposals. We cannot predict whether new proposals will be made or adopted, when they may be adopted, or what impact they may have on us if they are adopted. Our results of operations could be adversely affected by current and future healthcare reforms. While we cannot predict whether any proposed cost-containment measures will be adopted or otherwise implemented in the future, any such cost-reduction initiatives could decrease the coverage and price that our licensees receive for our products from Medicare, if any, including IMVEXXY, BIJUVA, and ANNOVERA, and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licensees to commercialize ANNOVERA depends on coverage and reimbursement levels set by government healthcare programs and third-party private payers. Despite our licensees’ coverage with commercial payers, there is no guarantee that our licensees will be able to retain ours or their agreements or obtain new agreements, or that they will be able to negotiate favorable reimbursement or pricing terms for our products in the future. Healthcare reform implementation, additional legislation or regulations, and other changes in government policy or regulation may affect our licensees’ reimbursement or impose additional coverage limitations and/or cost-sharing obligations on patients, any of which could have an adverse effect on coverage and reimbursement of our products, and our business, financial condition, results of operations, and prospects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generic products at lower prices than branded products may substantially reduce the likelihood of reimbursement for branded products, such as IMVEXXY, BIJUVA, and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licensees fail to successfully secure and maintain adequate coverage and reimbursement for our products or are significantly delayed in doing so, they could have difficulty achieving market acceptance of our products and our business, financial condition, results of operations, and prospects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results of operations and financial position could be affected by our ongoing disputes with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Mayne Pharma are disputing the allowance calculation for payer rebates and wholesale distributor fees pursuant to the Mayne Transaction Agreement. In February 2024, Mayne Pharma provided us with calculations that significantly differed from our estimates. In August 2024 and February 2025, Mayne Pharma provided additional information relating to the net working capital allowance for returns that we believe also differs significantly from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implied covenant of good faith and fair dealing, fraudulent inducement and unjust enrichment. On May 30, 2025, Mayne Pharma filed the Mayne Countersuit against us, seeking damages for breach of contract, fraudulent inducement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resolve this matter, but the outcome of the Mayne Lawsuits is uncertain. If the court determines that amounts are owed to Mayne Pharma in excess of our estimates, or if Mayne Pharma is permitted to offset any alleged obligations against royalties otherwise payable to us, our revenue, results of operations and financial condition could be materially adversely affected. In addition, the Mayne Lawsuits may damage our relationship with Mayne Pharma, which could further impair our ability to enforce our contractual rights and cooperate in the ongoing operation of the Mayne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global economic conditions could harm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harmed by general conditions in the global economy and in the global financial markets. A severe or prolonged economic downturn, including the impact of increased interest rates, the imposition of tariffs and inflation, could result in a variety of risks to our business, including our ability to raise additional capital when needed on acceptable terms, if at all. For example, the current U.S. administration has taken action, and may take action in the future, with respect to major changes to trade policies, such as the imposition of tariffs on imported products and the withdrawal from or renegotiation of certain trade agreements. New or increased tariffs or other material changes in trade policies could increase costs in the pharmaceutical supply chain, including costs incurred by our licensees in manufacturing or distributing our licensed products. Any such increased costs or supply disruptions could adversely affect sales of our licensed products and reduce the royalties we receive. The foregoing could harm our business, and we cannot anticipate all the ways in which unfavorable economic conditions and financial market conditions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sublease our properties, which could expose us to possible liabilities and losses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sublease our former headquarters to third parties. In the event that we are unable to sublease our properties on favorable terms, or at all, or if we are able to sublease our properties but our subtenants fail to make lease payments to us or otherwise default on their obligations to us, we could incur unanticipated payment obligations. Our lease agreements may also expose us to liabilities, such as rent escalations, maintenance obligations, termination rights, or indemnification claims, that may negatively affect our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Licensing of intellectual property involves complex legal, business, and scientific issues, and disputes could jeopardize our rights under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may in the future be a party to license agreements of importance to our business and to our products. Disputes have and may continue to arise between us and any of these counterparties regarding intellectual property subject to and each parties’ obligations under such agreements, including:</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scope of rights granted under the agreement and other interpretation-related issues;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 our licensees’ obligations to make milestone, royalty, or other payments under those agreements, or the amount of any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05"/>
        <w:gridCol w:w="200"/>
        <w:gridCol w:w="68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 our licensees’ obligations to prosecute existing and new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105"/>
        <w:gridCol w:w="200"/>
        <w:gridCol w:w="6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 our licensees’ obligations to enforce infringement of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and the extent to which the ANNOVERA technology and processes infringe on intellectual property of the Population Council that is not subject to the ANNOVERA license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ownership of inventions and know-how arising under the agreement or resulting from the joint creation or use of intellectual property by our licensees and us and our partners;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right, or the right of our licensees, to transfer or assign the license; and</w:t>
            </w:r>
          </w:p>
        </w:tc>
      </w:tr>
    </w:tbl>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05"/>
        <w:gridCol w:w="200"/>
        <w:gridCol w:w="2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effects of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or other disputes over our obligations, our licensees’ obligations, or intellectual property that we have licensed may prevent or impair our ability to maintain our current arrangements on acceptable terms, or may impair the value of the arrangement to us. Any such dispute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we entered into the Population Council License Agreement to obtain exclusive U.S. rights to commercialize ANNOVERA. The agreement required us to commercialize this product and enter into certain manufacturing agreements, make timely milestone and other payments, provide certain information regarding our activities under the agreement, and indemnify the other party with respect to our development and commercialization activities under the terms of the agreements. The Company’s license under the Population Council License Agreement was sold to Mayne Pharma as part of the Mayne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 with respect to the ANNOVERA license agreement that we have assigned to Mayne Pharma, fails to meet obligations under that license agreement in a material respect, the Population Council could have the right to terminate the agreement and upon the effective date of such termination, have the right to re-obtain the related technology as well as, potentially, aspects of any intellectual property controlled by Mayne Pharma and developed during the period the agreement was in force that relate to the applicable technology. This means that Population Council could effectively take control of the development and commercialization of ANNOVERA after an uncured, material breach of the agreement by us or Mayne Pharma. Any uncured, material breach under a license agreement could result in our loss of exclusive rights and may lead to a complete termination of any commercialization efforts for the applicable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Mayne Transaction, we granted a license to Mayne Pharma (i) to research, develop, register, manufacture, have manufactured, market, sell, use, and commercialize the Licensed Products in the United States and its possessions and territories and (ii) to manufacture, have manufactured, import and have imported the Licensed Products outside the United States for commercialization in the United States and its possessions and territories. Any disputes arising under the agreements governing the Mayne Transaction may have a material adverse impact on our revenue,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licensing and supply agreements with Knight pursuant to which we granted Knight an exclusive license to commercialize IMVEXXY and BIJUVA in Canada and with Theramex pursuant to which we granted Theramex an exclusive license to commercialize BIJUVA, and IMVEXXY outside of the U.S., except for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in the U.S. and our rights to receive royalties with respect to such sales could be adversely affected if products manufactured outside of the U.S. or for sale outside of the U.S. under the terms of these licensing and supply agreements are reimported and sold in the U.S. In addition, our rights to receive royalties with respect to our products sold outside the U.S. could be adversely affected if our licensees fail to diligently pursue approval of our products, or opt not to sell our products, in certain jurisdictions where they are not required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cash is held in accounts at U.S. banking institutions that we believe are of high quality. Cash held in depository accounts may exceed the $250 thousand Federal Deposit Insurance Corporation (“FDIC”) insurance limits. If such banking institutions were to fail,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our licensees are subject to extensive and costly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subject to extensive and rigorous domestic government regulation, including regulation by the FDA, the Centers for Medicare &amp; Medicaid Services (“CMS”), other divisions of the U.S. Department of Health and Human Services, including its Office of Inspector General (“OIG”), the U.S. Department of Justice (“DOJ”), the Departments of Defense and Veterans Affairs, to the extent our products are paid for directly or indirectly by those departments, state and local governments, and their respective foreign equivalents. The FDA regulates dietary supplements, cosmetics, and drugs under different regulatory schemes. For example, the FDA regulates the processing, formulation, safety, manufacturing, packaging, labeling, and distribution of dietary supplements and cosmetics under its dietary supplement and cosmetic authority, respectively. The FDA also regulates the research, development, pre-clinical and clinical testing, manufacture, safety, effectiveness, record keeping, reporting, labeling, storage, approval, advertising, promotion, sale, distribution, import, and export of pharmaceutical products under various regulatory provisions. If any of our products are marketed abroad, they will also be subject to extensive regulation by foreign governments, whether or not we have obtained FDA approval for a given product and its uses. Such foreign regulation may be equally or more demanding than corresponding 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licensees are also subject to additional healthcare regulation and enforcement by the federal government and the states in which we conduct our business. Applicable federal and state healthcare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05"/>
        <w:gridCol w:w="200"/>
        <w:gridCol w:w="3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federal Anti-Kickback Statute (“AKS”)</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5"/>
        <w:gridCol w:w="200"/>
        <w:gridCol w:w="37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Civil Monetary Penalties Law (“CMPL”)</w:t>
            </w:r>
          </w:p>
        </w:tc>
      </w:tr>
    </w:tbl>
    <w:p>
      <w:pPr>
        <w:pStyle w:val="TextBody"/>
        <w:bidi w:val="0"/>
        <w:spacing w:before="0" w:after="0"/>
        <w:ind w:left="0" w:right="0" w:firstLine="8"/>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200"/>
        <w:gridCol w:w="6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Health Insurance Portability and Accountability Act of 1996 (“HIPAA”)</w:t>
            </w:r>
          </w:p>
        </w:tc>
      </w:tr>
    </w:tbl>
    <w:p>
      <w:pPr>
        <w:pStyle w:val="TextBody"/>
        <w:bidi w:val="0"/>
        <w:spacing w:before="0" w:after="0"/>
        <w:ind w:left="0" w:right="0" w:firstLine="8"/>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105"/>
        <w:gridCol w:w="200"/>
        <w:gridCol w:w="9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of 2009 (“HITECH”)</w:t>
            </w:r>
          </w:p>
        </w:tc>
      </w:tr>
    </w:tbl>
    <w:p>
      <w:pPr>
        <w:pStyle w:val="TextBody"/>
        <w:bidi w:val="0"/>
        <w:spacing w:before="0" w:after="0"/>
        <w:ind w:left="0" w:right="0" w:firstLine="8"/>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05"/>
        <w:gridCol w:w="200"/>
        <w:gridCol w:w="41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5(a) of the Federal Trade Commission Act</w:t>
            </w:r>
          </w:p>
        </w:tc>
      </w:tr>
    </w:tbl>
    <w:p>
      <w:pPr>
        <w:pStyle w:val="TextBody"/>
        <w:bidi w:val="0"/>
        <w:spacing w:before="0" w:after="0"/>
        <w:ind w:left="0" w:right="0" w:firstLine="8"/>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Physician Payments Sunshine Act</w:t>
            </w:r>
          </w:p>
        </w:tc>
      </w:tr>
    </w:tbl>
    <w:p>
      <w:pPr>
        <w:pStyle w:val="TextBody"/>
        <w:bidi w:val="0"/>
        <w:spacing w:before="0" w:after="0"/>
        <w:ind w:left="0" w:right="0" w:firstLine="8"/>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05"/>
        <w:gridCol w:w="200"/>
        <w:gridCol w:w="3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Analogous state laws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aspects of these laws have not been definitively interpreted by the regulatory authorities or the courts, and their provisions are open to a variety of subjective interpretations that increases the risk of potential violations. In addition, these laws and their interpretations are subject to change. Many state laws differ from each other in significant ways and often are not preempted by federal laws, thus complicating compliance efforts. Moreover, the number and complexity of both federal and state laws continues to increase, and additional governmental resources are being used to enforce these laws and to prosecute companies and individuals who are believed to be violating them. We anticipate that government scrutiny of pharmaceutical sales and marketing practices will continue for the foreseeable future and subject us to the risk of government investigations and enforcement actions. For example, federal enforcement agencies recently have shown interest in pharmaceutical companies’ product and patient assistance programs, including manufacturer reimbursement support services and relationships with specialty pharmacies. Some of these investigations have resulted in significant civil and criminal settlements.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operations, including our business arrangements with third parties including our licensees, comply with applicable healthcare laws and regulations could be costly. Although effective compliance programs can help mitigate the risk of investigation, regulatory and enforcement actions, and prosecution for violations of these laws, the risks cannot be entirely eliminated. Moreover, achieving and sustaining compliance with applicable federal and state fraud, privacy, security, and reporting laws may prove costly. We cannot guarantee that a government agency will agree with our interpretations, and it is possible that an enforcement authority may find or we may discover that one or more of our business practices may not comply. If our past or present operations, including activities conducted by our sales team or agents, are found to be in violation of any of these laws or any other governmental regulations that may apply to us, we may be subject to significant civil, criminal, and administrative penalties, damages, fines, and exclusion from government healthcare programs. Any action against us for violation of these laws, even if we successfully defend against it, could cause us to incur significant legal expenses, divert our management’s attention from the operation of our business, and damage our reputation. In addition, even if we are not determined to have violated these laws, government investigations into these issues typically require the expenditure of significant resources and generate negative publicity, and could result in related stockholder suits, any of which could also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in the future, we or our licensees may become subject to additional laws or regulations issued by federal or state agencies, all of which are subject to influence resulting from changes in political party control. We are uncertain of the impact or outcome of new legislation, regulation, Executive Orders, rescission of rules and policy statements, or new agency priorities, especially any relative impact on the healthcare regulatory and policy landscape, or the impact they may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or future legislation or regulations may adversely affect reimbursement from government healthcare programs and third-party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significant efforts by government officials and legislators to implement changes in healthcare systems to regulate prices or payment for pharmaceutical products, including legislation on drug importation, which could adversely affect our royalty revenues. Federal and state laws have put considerable pressure on the pricing of pharmaceutical products, and additional reforms may further constrain pricing, reimbursement and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the Inflation Reduction Act of 2022 (“IRA”) was signed into law. Among other things, the IRA requires manufacturers of certain drugs to engage in price negotiations with Medicare (beginning in 2026), with prices that can be negotiated subject to a cap, and establishes monetary penalties for manufacturers that do not comply. The IRA also requires manufacturers to pay rebates to Medicare if the prices of certain drugs outpace inflation (first due in 2023), and it replaces the Medicare Part D coverage gap discount program with a new discounting program (beginning in 2025). Further. the IRA permits the Secretary of the Department of Health and Human Services (“HHS”) to implement certain of these provisions through guidance, as opposed to regulation, for the initial years and significant aspects of the law remain subject to ongoing regulatory implementation and legal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April 2025, an executive order was signed directing the Secretary of HHS to take appropriate steps to, among other things, modify certain provisions of the Medicare Drug Price Negotiation Program, and develop and implement a payment model to reduce the price of high-cost prescription drugs and biological products covered by Medicare. In May 2025, a further executive order was signed directing the Secretary of HHS to propose rules that impose “most-favored-nation” pricing and to take other measures to reduce the cost of prescription drugs. It is currently unclear whether and to what extent these measures will be implemented and what impact any such implementation would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directly commercialize pharmaceutical products, our royalty revenues are based on the net sales of products commercialized by our licensees, and the IRA’s drug pricing and rebate provisions could reduce the prices that may be charged for certain products or increase mandatory rebates and discounts owed by manufacturers. To the extent our licensed products are or become subject to Medicare price negotiations, inflation-based rebates, Medicare Part D manufacturer discounts or other pricing constraints, our licensees’ net sales of such products may be reduced. Because our royalty revenues are based on a percentage of net sales, any reduction in pricing, increased rebates or discounts, or other limitations on reimbursement could materially reduce the royalty payments we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future course of federal or state healthcare legislation in the United States directed at broadening the availability of healthcare and containing or lowering the cost of healthcare. The ACA, the IRA and any further changes in the law or regulatory framework, including additional drug pricing reform measures, could also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a federal government shutdown were to occur for a prolonged period, federal government payment obligations, including its obligations under Medicaid and Medicare, may be delayed. Similarly, if state government shutdowns were to occur, state payment obligations may be delayed. If the federal or state governments fail to make payments under these programs on a timely basis, the ability of our licensees to sell our products to government payers may be limited, thereby reducing anticipated net sales and royalty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 and costs associated with winding down our general and administrative, commercial, and research and development activities may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costs associated with winding down our normal historic operations, such as separation of employees, termination of contracts and engagement of external consultants, all of which have and, in the future, will reduce our cash resources and take up large portions of our employees’ and consultants’ time. We have received certain invoices related to our historic operations that we are currently disputing. Our accruals related to such invoices reflect the amount we believe we will be responsible for based on the current information we have. Any litigation related to such disputes or to the winding down of our operations, as well as any unforeseen liabilities related to the same, could have a material impact on our business, growth, financial conditions, results of operations and cash flows. There is no guarantee that our cash and cash equivalents on hand at any given time will be enough to cover our liabilities associated with winding down our historic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after the approval of IMVEXXY, BIJUVA, and ANNOVERA, the products and the holder of the marketing authorizations will still face extensive, ongoing regulatory requirements and review, and the products may face future development and regulatory difficulties.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IMVEXXY, BIJUVA, and ANNOVERA, the FDA may still impose significant restrictions on a product’s indicated uses or marketing or to the conditions for approval or impose ongoing requirements for potentially costly post-approval studies, including phase 4 clinical trials or post-market surveillance. As a condition to granting marketing approval of a product, the FDA may require additional clinical trials. The results generated in these post-approval clinical trials could result in loss of marketing approval, changes in product labeling, or new or increased concerns about side effects or efficacy of a product. For example, the labeling for IMVEXXY, BIJUVA, and ANNOVERA contains restrictions on use and warnings. The Food and Drug Administration Amendments Act of 2007 gives the FDA enhanced post-market authority, including the imposition of a Risk Evaluation and Mitigation Strategy (“REMS”) as well as explicit authority to require post-market studies and clinical trials, labeling changes based on new safety information, and compliance with FDA-approved REMS programs. IMVEXXY, BIJUVA, and ANNOVERA will also be subject to ongoing FDA requirements governing the manufacturing, labeling, packaging, storage, distribution, safety surveillance and reporting, advertising, promotion, record keeping, and reporting of safety and other post-market information. The FDA’s exercise of its authority could result in delays or increased costs during product development, clinical trials and regulatory review, increased costs to comply with additional post-approval regulatory requirements, and potential restrictions on sales of approved products. Foreign regulatory agencies often have similar authority and may impose comparable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FDA’s approval of IMVEXXY, we committed to conduct a post-approval observational study to evaluate the risk of endometrial cancer in post-menopausal women with a uterus who use a low-dose vaginal estrogen unopposed by a progestogen such as IMVEXXY, which study was assumed by Mayne Pharma as the holder of the NDA. As part of the FDA’s approval of ANNOVERA, the FDA has required four non-closed post-marketing studies, including both post-marketing reviews and post-marketing commitments. Each study has a timeline for completion and submission of a final report to the FDA. If a post-approval study is not fulfilled according to FDA requirements, the FDA may impose certain further requirements and penalties against the holder of the NDA, which could include withdrawal of the NDA approval and withdrawal of the product from the market. For ANNOVERA, post marketing studies are being performed by the Population Council and Mayne Pharma as the NDA holder. In July 2021, we received a letter from the FDA indicating that the post-marketing commitment study being conducted by the Population Council for ANNOVERA to characterize the in vivo release rate of ANNOVERA was not fulfilled to FDA’s satisfaction. In addition, the final reports for the two post-marketing requirement studies being performed by the Population Council for ANNOVERA were not submitted by the initial listed submission deadline, which deadlines have since been extended by FDA. To the extent that Mayne Pharma or the Population Council, as applicable, does not fulfil these studies to the FDA’s satisfaction, the ability of our licensees to sell the applicable product may be limited and there may be an adverse impact on our revenue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Post-marketing studies, whether conducted by us or by others and whether mandated by regulatory agencies or voluntary, and other emerging data about marketed products, such as adverse event reports, may also adversely affect sales of our pharmaceutical product candidates once approved, and potentially our other marketed products. Further, the discovery of significant problems with a product similar to one of our products that implicate (or are perceived to implicate) an entire class of products could have an adverse effect on sales of our approved products. Accordingly, new data about our products could negatively affect demand because of real or perceived side effects or uncertainty regarding efficacy and, in some cases, could result in product withdrawal or recall. Furthermore, new data and information, including information about product misuse, may lead government agencies, professional societies, and practice management groups or organizations involved with various diseases to publish guidelines or recommendations related to the use of our products or the use of related therapies or place restrictions on sales. Such guidelines or recommendations may lead to lower sales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pharmaceutical products and their facilities are subject to continual review and periodic inspections by the FDA and other regulatory authorities for compliance with the FDA’s cGMP regulations and other regulatory requirements, such as adverse event reporting. Facilities for the manufacturer of pharmaceutical products also undergo internal audits as well as external audits by third parties. If our licensees or a regulatory agency discovers problems with a product, such as adverse events of unanticipated severity or frequency or problems with the facility where the product is manufactured, a regulatory agency may impose restrictions on that product, the manufacturing facility, or our licensees, including requiring recall or withdrawal of the product from the market or suspension of manufacturing, requiring new warnings or other labeling changes to limit use of the drug, requiring that additional clinical trials be conducted, imposing new monitoring requirements, or requiring the establishment of a REMS program. Advertising and promotional materials must comply with FDA rules in addition to other potentially applicable federal and state laws and are subject to review by FDA. If the FDA raises concerns regarding our licensees’ promotional materials or messages, they may be required to modify or discontinue using them and may be required to provide corrective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products must now meet the requirements of the Drug Supply Chain Security Act (“DSCSA”) which imposes obligations on manufacturers of prescription 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and its implementing regulations.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and the activities of our licensees are also potentially subject to federal and state consumer protection and unfair competition laws. If we, our licensees or our third-party suppliers fail to comply with applicable regulatory requirements, a regulatory agency may take any of the following actions:</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an investigation into our or our licensees’ practices and any alleged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seek an injunction or impose civil or criminal penalties or monetary fines;</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05"/>
        <w:gridCol w:w="200"/>
        <w:gridCol w:w="3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suspend or withdraw regulatory approval;</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05"/>
        <w:gridCol w:w="200"/>
        <w:gridCol w:w="9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suspend or impose restrictions on our licensees’ operations, including costly new manufacturing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seize or detain products, refuse to permit the import or export of products, or require our licensees to initiate a product recall;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 our licensees from providing our products to those participating in government healthcare programs, such as Medicare and Medicaid, and refuse to allow our licensees to enter into supply contracts, including government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authorities continue to pursue actions against pharmaceutical companies for violations of fraud, abuse and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government has pursued actions against pharmaceutical companies for violations of fraud, abuse, and other laws, including, but not limited to the AKS, False Claims Act, FDCA, HIPAA, HITECH, Ryan Haight Act, and others, including marketing and promotional compliance programs or codes of conduct, and law or rules requiring reporting of commercial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Ours or our licensee’s compliance controls, policies, and procedures may not be sufficient to protect against acts of ours or their employees, business partners, licenses, or vendors that may violate federal or state fraud and abuse laws or other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violations of any of these law or rules may result in penalties that may force us to expend significant amounts of time and money and may significantly inhibit our licensee’s ability to continue to market our products and generate revenue. Following the closing of the vitaCare divestiture, we may still be required to indemnify the buyer of vitaCare in the event any enforcement related to activities prior to the vitaCare divestiture. Similar regulations apply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our dietary supplement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hormone therapy pharmaceutical products or patient-controlled, long-acting contraceptive products do not have the effects intended or cause undesirable side effects,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many of the ingredients in our dietary supplement products are vitamins, minerals, and other substances for which there is a long history of human consumption, they also contain innovative ingredients or combinations of ingredients. Furthermore, our hormone therapy or patient-controlled, long-acting contraceptive pharmaceutical products have been approved by the FDA based on its assessment of the safety and efficacy of these products. While we believe that all of these products and the combinations of ingredients in them are safe when taken as directed, the products could have certain undesirable side effects if not taken as directed or if taken by a consumer who has certain medical conditions. In addition, these products may not have the effect intended if they are not taken in accordance with certain instructions, which include certain dietary or other labeling restrictions. Furthermore, the products, even when used as directed, may not have the effects intended or will not have harmful side effects in an unforeseen way or on an unforeseen cohort. If any of our products are shown to be harmful or generate negative publicity from perceived harmful effects, our business, financial condition, results of operations, and prospects could be harmed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face significant competition from branded and generic products, and our operating results will suffer if we fail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awareness of our products will depend largely upon our licensee’s success in increasing the consumer base for our products. The pharmaceutical and dietary supplement industries are intensely competitive and subject to rapid and significant technological change. Our products face intense competition, including from major multinational pharmaceutical and dietary supplement companies, established biotechnology companies, specialty pharmaceutical, and generic drug companies. Many of these companies have greater financial and other resources, such as larger R&amp;D staffs and more experienced marketing and manufacturing organizations. As a result, these companies may obtain regulatory approval more rapidly and may be more effective in selling and marketing their products. They also may invest heavily to accelerate discovery and development of novel compounds or to in-license novel compounds that could make the products that we sell or develop obsolete. Smaller or early-stage companies may also prove to be significant competitors, particularly through collaborative arrangements with large, established companies. If our licensees are unable to economically promote or maintain our brand, our business, results of operations and financial condition could be severely harmed. Loss of exclusivity may provide opportunity for competing products, particularly generics, to siphon off our consumers. In addition, under the Mayne License Agreement, the royalty rate is subject to a 2% reduction upon the earlier to occur of (i) the expiration or revocation of the last valid claim covering a Licensed Product, and (ii) a generic product launch (a “LOE”).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ANDA submitted to the FDA by Teva Pharmaceuticals USA, Inc. (“Teva”) seeking approval to market a generic version of IMVEXXY. See “If our efforts or the efforts of our licensees to protect the proprietary nature of the intellectual property covering our hormone therapy pharmaceutical products and other products are not adequate, we may not be able to compete effectively in our market” below for more information regarding the IMVEXXY Notice Letter. In March 2020, we received a Paragraph IV certification notice letter (the “BIJUVA Notice Letter”) regarding an ANDA submitted to FDA by Amneal Pharmaceuticals. See Item 1. Business – Pharmaceutical Regulation – Regulatory Exclusivity for more information on the BIJUVA Notice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June 2024, Mayne Pharma received a Paragraph IV certification notice letter (the “Sun Notice Letter”) regarding an ANDA submitted to the FDA by Sun Pharma Inc. (“Sun Pharma”), seeking approval from the FDA to commercially manufacture, use, or sell a generic version of IMVEXXY and alleging that the IMVEXXY Patents are invalid, unenforceable, and/or will not be infringed by Sun Pharma’s commercial manufacture, use, or sale of its proposed generic drug product. An adverse ruling in this matter could trigger LOE, and thereby reduce our royalty rate under the Mayne License Agreement, earlier than expected. As of December 31, 2025, the litigation remains ongoing and has progressed to claim construction. See Item 3. Legal Proceedings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what additional ANDAs could be filed by Teva or other potential generic competitors requesting approval to market generic forms of our products, which if approved, could result in significant decreases in the revenue derived from royalties sales of our marketed products and thereby harm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attract and retain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one employee and use a limited number of external consultants for the operation of our company, any of whom may terminate their consultancy with us at any time. We may not be able to attract and retain consultants on acceptable terms given the competition for similar personnel. Some of our consultants and advisors may be employed by employers other than us and may have commitments under consulting or advisory contracts with other entities that may limit their availability to us. We do not maintain “key person” insurance. If we are unable to continue to use our current consultants, or if we are unable to recruit new consultants, then our ability to operate our business will be negatively impacted and it could interfere with our ability to receive any potential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condition and results of operations may be adversely affected by any future pandemics or epidemics.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impacted by any future pandemics or epidemics. The severity of the impact of any pandemic on our business and operating results will depend on future developments that are highly uncertain and cannot be accurately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pandemics or epidemics can negatively affect the ability of our licensees’ sales force to access healthcare providers to promote our products and the ability of patients to visit their healthcare professionals for non-emergent matters. Accordingly, the sales force of our licensees may continue to use a hybrid model of office visits when necessary and digital engagement tools and tactics and virtual detailing, which may be less effective than their ordinary course sales and marketing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future results of operations and liquidity could be adversely affected during or following any future pandemics or epidemics by extended billing and collection cycles at our company, our licensees, or otherwise; delays in payments of outstanding receivable amounts beyond normal payment terms, including royalty payments; supply chain disruptions; and uncertain demand.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disruptions have occurred and may occur in the future that affect our licensees’ ability to obtain supplies or other components for our products, manufacture additional products, or deliver inventory in a timely manner. This would result in lost sales (and royalties) and damage to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experience other unknown impacts from any future pandemics or epidemics that cannot be predicted. Accordingly, disruptions to our business as a result of pandemics or epidemics could result in an adverse effect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regulatory approval outside the U.S. will prevent our licensees from marketing our hormone therapy pharmaceutical products in non-U.S.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licensing and supply agreements with Knight and Theramex to commercialize IMVEXXY and BIJUVA in non-U.S. markets. To market these products in the European Union and many other non-U.S. jurisdictions, our licensees must obtain separate regulatory approvals. We have had limited interactions with non-U.S. regulatory authorities, the approval procedures vary among countries and can involve additional testing, and the time required to obtain approval may differ from that required to obtain FDA approval or clearance. Approval or clearance by the FDA does not ensure approval by regulatory authorities in other countries, and approval by one or more non-U.S. regulatory authorities does not ensure approval by other regulatory authorities in other countries or by the FDA. The non-U.S. regulatory approval process may include all risks associated with obtaining FDA approval or clearance. For these non-U.S. regulatory approvals, our licensees may not obtain them on a timely basis, if at all. Our licensees’ failure to receive necessary non-U.S. regulatory approvals to commercialize IMVEXXY and BIJUVA in a given market could have an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by seeking to obtain approval to market IMVEXXY and BIJUVA in one or more non-U.S. markets, we or our licensees will be subject to rules and regulations in those markets relating to our products. In some countries, particularly countries of the European Union, each of which has developed its own rules and regulations, pricing is subject to governmental control. In these countries, pricing negotiations with governmental authorities can take considerable time after the receipt of regulatory approval for a drug. To obtain reimbursement or pricing approval in some countries, our licensees may be required to conduct a clinical trial that compares the cost-effectiveness of our pharmaceutical product to other available products. If reimbursement of our pharmaceutical product is unavailable or limited in scope or amount, or if pricing is set at unsatisfactory levels, our licensees may be unable to generate revenues and achieve or sustain profitability with respect to any given market, which could have an adverse effect on our business, financial condition, results of operations, and prospects. If our licensees obtain approval to market IMVEXXY or BIJUVA in one or more non-U.S. markets, there will be additional pharmacovigilance reporting requirements for our products. To the extent that the non-U.S. markets in which our licensees distribute our products have different pharmacovigilance reporting requirements than the U.S., there is a risk that the marketing of our drugs in those countries may increase the number of adverse events reported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is tied to our licensees’ distribution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dependent on our licensees’ distribution through wholesale distributors and retail pharmacy distributors. Our business would be harmed if our licensees’ customers refused to distribute our products and if our licensees were not able to replace such customers through their distribution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utilize net operating loss carryforwards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federal net operating loss (“NOL”) carryforwards of $584.6 million. Subject to applicable limitations, our NOL may be used to offset future taxable income, to the extent we generate any taxable income, and thereby reduce our future federal income taxes otherwise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of 1986, as amended, imposes limitations on a corporation’s ability to utilize NOL carryforwards if it experiences an ownership change as defined in Section 382. In general terms, an ownership change may result from transactions increasing the ownership of certain stockholders in the stock of a corporation by more than 50 percent over a three-year period. If an ownership change has occurred, or were to occur, utilization of our NOL carryforwards would be subject to an annual limitation under Section 382 determined by multiplying the value of our stock at the time of the ownership change by the applicable long-term tax-exempt rate. Any unused annual limitation may be carried over to later years. We may be found to have experienced an ownership change under Section 382 because of events in the past or the issuance of shares of our common stock in the future. If so, the use of our NOL carryforwards, or a portion thereof, against our future taxable income may be subject to an annual limitation under Section 382.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the U.S. federal government enacted comprehensive tax legislation commonly referred to as the Tax Cuts and Jobs Act (the “2017 Tax Act”). The 2017 Tax Act makes broad and complex changes to the U.S. federal tax code, including, but not limited to reducing the U.S. federal corporate tax rate from 34 percent to 21 percent and imposing new restrictions on the use of NOL carryforwards. The 2017 Tax Act reduced the corporate tax rate to 21 percent, effective January 1, 2018. Management assessed the valuation allowance analyses with respect to our NOL carryforwards as affected by various aspects of the 2017 Tax Act and determined that a full valuation allowance continues to be appropriate. Additionally, to address the impact of the COVID-19 pandemic, the Coronavirus Aid, Relief, and Economic Security Act, or the CARES Act, was enacted into law in March 2020. The CARES Act includes several significant business tax provisions that, among other things, includes further statutory amendments to the rules governing NOL carryforwards, as amended by the 2017 Tax Act. The CARES Act limits the NOL deduction in taxable years beginning in 2021 to the lesser of the NOL carryforwards or 80% of the taxpayer’s taxable income (after considering the deduction for NOL arising in tax years beginning before January 1, 2018), which may restrict our ability to offset future taxable income with NOL carryforwards and increase our future federal income taxes otherwise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of our licensees to adequately maintain a sales force or adequately promote our products will impede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sales forces of our licensees to attract new business and to manage existing customer relationships. There is significant competition for qualified, productive direct sales personnel with advanced sales skills and technical knowledge. Our ability to achieve growth in revenue in the future will depend, in large part, on our licensees’ success in recruiting, training, and retaining direct sales personnel, and their decision to adequately promote our products. If our licensees are unable to hire, engage, and develop enough productive sales personnel or fail to adequately promote our products, our business prospects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efforts or the efforts of our licensees to protect the proprietary nature of the intellectual property covering our hormone therapy pharmaceutical products and other products are not adequate, we may not be able to compete effectively in our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will depend in part on ours and our licensees’ ability to obtain additional patents and protect our existing patent positions as well as our ability to maintain adequate protection of other intellectual property for our hormone therapy pharmaceutical products. If we do not adequately protect our intellectual property, competitors may be able to use our technologies and erode or negate any competitive advantage we may have, which could harm our business and ability to achieve profitability. The patent positions of pharmaceutical companies are highly uncertain. The legal principles applicable to patents are in transition due to changing court precedent and legislative action, and we cannot be certain that the historical legal standards surrounding questions of validity will continue to be applied or that current defenses relating to issued patents in these fields will be sufficient in the future. Changes in patent laws in the U.S., such as the America Invents Act of 2011, may affect the scope, strength, and enforceability of our patent rights or the nature of proceedings that may be brought by us related to our patent rights. In addition, the laws of some foreign countries do not protect proprietary rights to the same extent as the laws of the U.S., and we may encounter significant problems in protecting our proprietary rights in these countries. We will be able to protect our proprietary rights from unauthorized use by third parties only to the extent that our proprietary technologies are covered by valid and enforceable patents or are effectively maintained as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include the possibility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patent applications that we or our licenses have filed may fail to result in issued patents in the U.S. or in foreign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patents issued or licensed to us, or our partners, may be challenged or discovered to have been issued on the basis of insufficient, incomplete, or incorrect information, and thus held to be invalid or unenforceable;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scope of any patent protection may be too narrow to exclude competitors from developing or designing around these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the Population Council, or our licensees were not the first to make the inventions covered by each of our issued patents and pending patent applications, or may have created bars under U.S. or foreign laws that would preclude the issuance of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the Population Council, or our licensees may not have been the first inventors to invent or file patent applications for these technologies in the U.S. or were not the first to file patent applications directed to these technologies abroad;</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may fail to comply with procedural, documentary, fee payment, and other similar provisions during the patent application process, which can result in abandonment or lapse of the patent or patent application, resulting in partial or complete loss of patent rights;</w:t>
            </w:r>
          </w:p>
        </w:tc>
      </w:tr>
    </w:tbl>
    <w:p>
      <w:pPr>
        <w:pStyle w:val="TextBody"/>
        <w:bidi w:val="0"/>
        <w:spacing w:before="0" w:after="0"/>
        <w:ind w:left="0" w:right="0" w:firstLine="36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pharmaceutical product candidates may not be patentable;</w:t>
            </w:r>
          </w:p>
        </w:tc>
      </w:tr>
    </w:tbl>
    <w:p>
      <w:pPr>
        <w:pStyle w:val="TextBody"/>
        <w:bidi w:val="0"/>
        <w:spacing w:before="0" w:after="0"/>
        <w:ind w:left="0" w:right="0" w:firstLine="36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
        <w:gridCol w:w="200"/>
        <w:gridCol w:w="8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 may claim rights or ownership regarding patents and other proprietary rights that we hold or license;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delays in development, testing, clinical trials, and regulatory review may reduce the period during which we could market our pharmaceutical products under patent protection; and</w:t>
            </w:r>
          </w:p>
        </w:tc>
      </w:tr>
    </w:tbl>
    <w:p>
      <w:pPr>
        <w:pStyle w:val="TextBody"/>
        <w:bidi w:val="0"/>
        <w:spacing w:before="0" w:after="0"/>
        <w:ind w:left="0" w:right="0" w:firstLine="36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or our licensees may fail to timely apply for patents on our technologies or products.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apply for patents covering our technologies and products, as we deem appropriate, many third parties may already have filed patent applications or have received patents in our areas of product development. These entities’ applications, patents, and other intellectual property rights may conflict with patent applications to which we have rights and could prevent us from obtaining patents or could call into question the validity of any of our patents, if issued, or could otherwise adversely affect our ability to develop, manufacture, or commercialize our pharmaceutical products. In addition, if third parties file patent applications in the technologies that also claim technology to which we have rights, we may have to participate in interference, derivation, or other proceedings with the USPTO or foreign patent regulatory authorities to determine our rights in the technologies, which may be time-consuming and expensive. Moreover, issued patents may be challenged in the courts or in post-grant proceedings at the USPTO, or in similar proceedings in foreign countries. These proceedings may result in loss of patent claims or adverse changes to the scope of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the Population Council, our licensees, or our strategic partners fail to obtain and maintain patent protection for our products, or our proprietary technologies and their uses, companies may be dissuaded from collaborating with us or our licensees. In such event, ours or our licensee’s ability to commercialize our pharmaceutical products may be threatened, we could lose our competitive advantage, and the competition we face could increase, all of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mechanisms exist in much of the world permitting some form of challenge by generic drug marketers to our patents before, or immediately following, the expiration of any regulatory exclusivity, and generic companies are increasingly employing aggressive strategies, such as “at risk” launches or the post-grant approval processes that exists in the U.S. and foreign jurisdictions to challenge relevant patent rights. In February 2020, we received the IMVEXXY Notice Letter regarding an ANDA submitted to the FDA by Teva. The ANDA submitted by Teva seeks approval from the FDA to commercially manufacture, use, or sell a generic version of the 4 mcg and 10 mcg doses of IMVEXXY.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IMVEXXY Notice Letter, Teva alleges that IMVEXXY Patents listed in the FDA’s Orange Book that claim compositions and methods of IMVEXXY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September 2021, the District Court made available a public version of the order following the parties’ agreement to a consent motion to redact information Teva contended was confidential. The order provides that the statutory stay that prevents FDA from granting final approval of the ANDA for 30 months from the date of the Notice Letter will be extended for the number of days that the stay of the IMVEXXY litigation is in place. In November 2024, the court lifted the stay. As of December 31, 2025, the litigation remains ongoing and has progressed to claim construction, which the courts determine the meaning and scope of the asserted patent claims that will govern subsequent infringement and validity analysis.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any patent infringement lawsuit that we or our licensees may file will prevent the introduction of a generic version of IMVEXXY for any particular length of time, or at all. If Teva’s ANDA is approved, and a generic version of IMVEXXY is introduced, the sales of IMVEXXY could be adversely affected and our license revenue could be significantly decreased. In addition, we cannot predict what additional ANDAs could be filed by Teva, or other potential generic competitors requesting approval to market generic forms of our products, which could require us or our licensees to incur significant additional expense and result in distraction for our management team, and if approved, result in significant decreases in the revenue derived from sales of our marketed products and thereby harm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may rely on unpatented proprietary technology, know-how, and trade secrets. If the confidentiality of this intellectual property is breached, it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rely on Mayne Pharma to file lawsuits or take other actions to protect or enforce our patents and they may not take such actions or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patents or the patents of the ANNOVERA licensor. Following the Mayne Transaction, we no longer have the express right to enforce our intellectual property. To counter infringement or unauthorized use, we must rely on Mayne Pharma to file infringement claims, including with respect to Teva’s IMVEXXY Notice Letter. Mayne Pharma may not have sufficient financial or other resources to file and pursue such infringement claims in the United States, which typically last for years before they are concluded. In addition, the Mayne Lawsuits could adversely affect our working relationship and may reduce Mayne Pharma’s willingness or incentive to aggressively pursue infringement claims, to devote sufficient financial and managerial resources to patent enforcement and to coordinate litigation strategy with us. If Mayne Pharma were to decline to pursue, delay, settle on unfavorable terms, or otherwise inadequately prosecute infringement claims, our patent protection and the associated royalty revenues could be materially adversely affected.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an infringement proceeding, a court may decide that a patent of ours or of the ANNOVERA licensor is not valid or is unenforceable or may refuse to stop the other party from using the technology at issue on the grounds that our patents, or those of the ANNOVERA licensor, do not cover the technology in question or on other grounds. An adverse result in any litigation or defense proceedings could put one or more of our patents, or those of the ANNOVERA licensor, at risk of being invalidated, held unenforceable, or interpreted narrowly. Moreover, we may not be able to prevent, alone or with our licensees, or the ANNOVERA licensor, misappropriation of our proprietary rights, particularly in countries in which the laws may not protect those rights as fully as in the U.S. or in those countries in which we do not file national phase patent applications. Furthermore, because of the substantial amount of discovery required in connection with intellectual property litigation, there is a risk that some of our confidential information could be compromised by disclosure during this type of litigation. In addition, if securities analysts or investors perceive public announcements of the results of hearings, motions, or other interim proceedings or developments to be negative, the price of our common stock could be adversely affected. The occurrence of any of the above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“public shell” company which could have negative consequences, including potential Nasdaq delisting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Select Market. We have no current plans to delist our common stock from Nasdaq. However, following the transaction with Mayne Pharma, when we changed our business to become a royalty company, we may be treated as a “public shell” company under the Nasdaq rules, the Securities Act of 1933, as amended (the “Securities Act”), or the Securities Exchange Act of 1934, as amended (the “Exchange Act”). Although Nasdaq evaluates whether a listed company is a public shell company based on a facts and circumstances determination, a Nasdaq-listed company with no or nominal operations and either no or nominal assets, assets consisting solely of cash and cash equivalents, or assets 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 Additionally, we may be subject to delisting proceedings as a result of our failure to maintain compliance with additional continued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or if in the future we determine to delist our common stock, we would expect that such securities would qualify for trading over-the-counter, or OTC, in the United States on a market colloquially referred to as the “Pink Sheets.” Securities quoted OTC are generally subject to lesser requirements than securities listed for trading on a U.S. national stock exchange, such as Nasdaq, including reduced corporate governance and public reporting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should delist our common stock from trading, or if in the future we determine to delist our common stock, a reduction in some or all of the following may occur, each of which could have a material adverse effect on holders of our common stock: the liquidity of our common stock; the market price of our common stock; the number of institutional and general investors that will consider investing in our common stock; the number of investors in general that will consider investing in our common stock; the number of market makers in our common stock; the availability of information concerning the trading prices and volume of our common stock; and the number of broker-dealers willing to execute trades in our common stock. In addition to the foregoing, there are certain consequences under the Securities Act of being a public shell company, including the unavailability of Rule 144 thereunder for the resale of restricted securities and the inability to utilize Form S-8 for the registration of employee benefit plan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stockholder owns a significant percentage of our stock and will be able to exert significant control over matters subject to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Rubric Capital Management LP (“Rubric”) and its affiliates beneficially owned approximately 25.5% of our common stock. Rubric may be able to largely determine the outcome of all matters requiring stockholder approval. For example, Rubric may be able to largely control elections of directors, amendments of our organizational documents, or approval of any merger, sale of assets, or other major corporate transactions. This may prevent or discourage unsolicited acquisition proposals or offers for our common stock that you may feel are in your best interest as one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proper internal controls, our ability to produce accurate financial statements or comply with applicable regulations could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of the Sarbanes-Oxley Act, our management is required annually to deliver a report that assesses the effectiveness of our internal control over financial reporting. Due to our current filing status, we are not required to have our independent registered public accounting firm deliver an attestation report on the effectiveness of our internal control over financial reporting. If we are unable to maintain effective internal control over financial reporting or our independent auditors are unwilling or unable to provide us with an attestation report on the effectiveness of internal control over financial reporting for future periods as required by, or voluntarily followed under, Section 404 of the Sarbanes-Oxley Act, we may not be able to produce accurate financial statements, and investors may therefore lose confidence in our operating results, our stock price could decline and we may be subject to litigation or regulatory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dividends on our common stock so any returns may be limited to the value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anticipate that we will retain any future earnings for the operation of our business and do not anticipate declaring or paying any cash dividends for the foreseeable future. In addition, the terms of any future debt agreements may also preclude us from paying dividends. Any return to stockholders may be limited to the capital appreciation, if any, of their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provisions of our charter documents and Nevada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bylaws, as well as certain provisions of Nevada law, could make it more difficult for a third-party to acquire us or increase the cost of acquiring us, even if an acquisition would benefit our stockholders, and could also make it more difficult to remove our current management. These provisions in our articles of incorporation and bylaws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issuance of “blank check” preferred stock that could be issued by our Board of Directors to increase the number of outstanding shares and thwart a takeover attempt;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prohibiting cumulative voting in the election of directors, which would otherwise allow less than a majority of stockholders to elect director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notice provisions in connection with stockholder proposals that may prevent or hinder any attempt by our stockholders to bring business to be considered by our stockholders at a meeting or replace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Nevada’s Combination with Interested Stockholders statute (Nevada Revised Statute Sections 78.411 – 78.444), which prohibits an “interested stockholder” from entering into a “combination” with a company, unless certain conditions are met. An “interested stockholder” is a person who, together with affiliates and associates, beneficially owns (or within the prior two years, did beneficially own) 10% or more of the corporation’s capital stock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affected by unfavorable publicity or lack of consumer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upon consumer acceptance of the safety and quality of our products, as well as similar products distributed by other companies. Consumer acceptance of a product can be significantly influenced by scientific research or findings, national media attention, and other publicity about product use, products themselves, or marketing campaigns for our products. A product may be received favorably, resulting in high sales associated with that product that may not be sustainable as consumer preferences change. Future scientific research or publicity could be unfavorable to our industry or any of our products and may not be consistent with earlier favorable research or publicity. A future research report or publicity that is perceived by consumers as less than favorable or that may question earlier favorable research or publicity could have an adverse effect on sales of our products and our ability to generate revenue. Adverse publicity in the form of published scientific research, statements by regulatory authorities or otherwise, whether or not accurate, that associates use of our products or any other similar products with illness or other adverse effects, or that questions the benefits of our products or similar products, or that claims that such products do not have the effect intended, or that question the marketing of our products, could have an adverse effect on our business, reputation,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licensees may initiate product recalls or withdrawals or may be subject to regulatory enforcement actions that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be subject to product recalls, withdrawals, or seizures if any of our products are believed to cause injury or illness or if our licensees are alleged to have violated governmental regulations in the manufacture, labeling, promotion, sale, or distribution of any of our products. A recall, withdrawal, or seizure of any of our products could adversely affect consumer confidence in our brands and lead to decreased demand for our products, which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lawsuits could divert our resources, result in substantial liabilities, and reduce the commercial potential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an inherent risk of product liability claims because of the commercial availability of our current products. Additionally, considering the history of product liability claims related to other hormone therapy products and contraceptives, we will face an even greater risk through commercialization of our products. For example, we may be sued if any product we develop allegedly causes injury or is found to be otherwise unsuitable during manufacturing, marketing, or sale. Any such product liability claims may include allegations of defects in manufacturing, defects in design, failures to warn of dangers associated with the use of the product, negligence, strict liability, or breaches of warranties. Claims could also be asserted under state consumer fraud and protection statutes. If we cannot successfully defend ourselves against product liability claims, we may incur substantial liabilities or be required to limit commercialization of our existing products or pharmaceutical product candidates. Regardless of the merits or eventual outcome, product liability claims may result in any of the following:</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200"/>
        <w:gridCol w:w="3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inability to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difficulty recruiting subjects for clinical trials or withdrawal of these subjects before a trial is completed;</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labeling, marketing, or promotional changes and/or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05"/>
        <w:gridCol w:w="200"/>
        <w:gridCol w:w="25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recalls or withdrawals;</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05"/>
        <w:gridCol w:w="200"/>
        <w:gridCol w:w="66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decreased demand for our products or products that we may develop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05"/>
        <w:gridCol w:w="200"/>
        <w:gridCol w:w="1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of revenue;</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05"/>
        <w:gridCol w:w="200"/>
        <w:gridCol w:w="2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injury to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105"/>
        <w:gridCol w:w="200"/>
        <w:gridCol w:w="9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initiation of investigations by regulators or actions by state attorney generals or the U.S. Department of Justice;</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05"/>
        <w:gridCol w:w="200"/>
        <w:gridCol w:w="3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to defend the related litigation;</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diversion of management’s time and our resources;</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substantial monetary awards to trial participants or patients;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05"/>
        <w:gridCol w:w="200"/>
        <w:gridCol w:w="52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exhaustion of any available insurance and our capital resources;</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obligation to indemnify our licensees that would be a diversion of management’s time and resources; and</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05"/>
        <w:gridCol w:w="200"/>
        <w:gridCol w:w="2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decline in our stock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general liability insurance and clinical trial liability insurance for our products and product candidates, this insurance may not fully cover potential liabilities. The cost of any product liability litigation or other proceeding, even if resolved in our favor, could be substantial. In addition, our inability to obtain or maintain sufficient insurance coverage at an acceptable cost or to otherwise protect against potential product liability claims could prevent or inhibit the development and commercial production and sale of our products,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to maintain optimal inventory levels to meet commercial demand for our products could harm our and our licensees’ reputation and subject us to financial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ability to maintain optimal inventory levels to meet commercial demand depends on the performance of third-party contract manufacturers. In some instances, our products have unique ingredients used under license arrangements. One of our third-party contract manufacturers has in the past experienced an increase in difficulties with manufacturing of ANNOVERA, resulting in intermittent supply of ANNOVERA for commercial distribution. See “Our dependence upon third parties for the manufacture and supply of our existing women’s healthcare products may cause delays in or prevent our licensees from successfully commercializing and marketing our products” above. If the manufacturers of our products are unsuccessful in obtaining raw materials, if our licensees are unable to manufacture and release inventory on a timely and consistent basis, if our licensees fail to maintain an adequate level of product inventory, if inventory is destroyed or damaged, or if our licensees’ inventory reaches its expiration date, patients might not have access to our products, our reputation and brands could be harmed, and physicians may be less likely to recommend our products in the future, each of which could have an adverse effect on our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impacted by new or changing tax laws or regulations and actions by federal, state, and/or local agencies, or how judicial authorities apply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products we previously sold and the royalties we receive, we calculate, collect, and remit various federal, state, and local taxes, surcharges and regulatory fees, or taxes, to numerous federal, state and local governmental authorities. In addition, we incur and pay state and local taxes and fees on purchases of goods and services used in our business. Tax laws are dynamic and subject to change as new laws are passed and new interpretations of the law are issued or applied. In many cases, the application of tax laws is uncertain and subject to differing interpretations, especially when evaluated against new technologies and services. The impact of tax reform on holders of our common stock is also uncertain and could be adverse.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incorrectly described, disclosed, calculated, assessed, or remitted amounts that were due to governmental authorities, we could be subject to additional taxes, fines, penalties, or other adverse actions, which could impact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effective and efficient information systems or properly safeguard our information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on uninterrupted performance of our information systems. Failure to maintain reliable information systems, disruptions in our existing information systems or the implementation of new systems could cause disruptions in our business operations, including violations of patient privacy and confidentiality requirements and other regulatory requirements, increased administrative expenses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information security risks have generally increased in recent years because of new technologies and the increased activities of perpetrators of cyber-attacks resulting in the theft of protected health, business, or financial information. Despite our layered security controls, experienced computer programmers and hackers may be able to penetrate our information systems or the information systems of our licensees and misappropriate or compromise sensitive patient or personnel information or proprietary or confidential information, create system disruptions or cause shutdowns. They also may be able to develop and deploy viruses, worms and other malicious software programs that disable our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or other tactics.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in or breach of our information systems or those of our licensees because of cyber-attacks or other tactics could disrupt our business, result in the release or misuse of protected health information, or PHI, confidential or proprietary business information or financial loss, damage our reputation, increase our administrative expenses, and expose us to additional risk of liability to federal or state governments or individuals. Although we believe that we have robust information security procedures and other safeguards in place, as cyber threats continue to evolve, we may be required to expend additional resources to continue to enhance our information security measures or to investigate and remediate any information security vulnerabilities. Our remediation efforts may not be successful and could result in interruptions, delays or cessation of service and loss of existing or potential patients and disruption of our operations. In addition, breaches of our security measures and the unauthorized dissemination of patient healthcare and other sensitive information, proprietary or confidential information about us or other third-parties could expose such persons’ private information to the risk of financial or medical identity theft or expose us or such persons to a risk of loss or misuse of this information, result in litigation and potential liability for us, damage our brand and reputation or otherwise harm our business. Any of these disruptions or breaches of security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foreign data protection laws and regulations could lead to government enforcement actions and significant penalties against us, and adversely impact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Union member states and other foreign jurisdictions, including Switzerland, have adopted data protection laws and regulations which impose significant compliance obligations. Moreover, the collection and use of personal health data in the European Union is governed by the European Union General Data Protection Regulation the (“GDPR”), which imposes wide-ranging requirements relating to, among other things,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European Union to the U.S., provides an enforcement authority and imposes large penalties for noncompliance, including the potential for fines of up to €20 million or 4% of the annual global revenues of the non-compliant company, whichever is greater. The implementation of the GDPR has increased our responsibility and liability in relation to personal data that we process, and we may in the future be required to put in place additional mechanisms to ensure compliance with the GDPR, which could divert management’s attention and increase our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2020, the Court of Justice of the European Union issued its long-awaited decision in the case Data Protection Commission v. Facebook Ireland, Schrems. The decision on this case invalidated the European Commission’s adequacy decision for the EU-U.S. Privacy Shield Framework, calling into question personal data transfers from the EU to the U.S. On July 10, 2023, the European Commission adopted its Final Implementing Decision granting the U.S. adequacy (Adequacy Decision) for EU-U.S. transfers of personal information for companies that self-certify to the Trans-Atlantic Data Privacy Framework (the “DPF”). While we have yet to determine the full impact of the DPF on our business, any transfers by us or our vendors or licensees of personal information subject to the GDPR may not comply with data protection law and may increase our exposure to the GDPR’s heightened sanctions for violations of its cross-border data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European Union and other jurisdictions, and we cannot determine the impact such future laws, regulations and standards may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business partners may not appropriately secure and protect confidential information in their possession.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 and business partners are responsible for the security of the information in our systems or under our control and to ensure that private and financial information is kept confidential. Should an employee or business partner not follow appropriate security measures, including those related to cyber threats or attacks or other tactics, as well as our privacy and security policies and procedures, the improper release of personal information, including PHI, or confidential business or financial information, or misappropriation of assets could result. The release of such information or misappropriation of assets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employee fraud or other misconduct. Misconduct by our employee could include intentional failures to comply with FDA regulations, to provide accurate information to the FDA,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We have adopted a Code of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these laws or regulations. If any such actions are instituted against us or our licensees,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sued for infringing intellectual property rights of third parties, litigation will be costly and time consuming and could prevent or delay us from developing or commercializing our pharmaceutical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not infringing the patents and proprietary rights of other parties and not breaching any collaboration or other agreements we entered with regard to our technologies and products. We are aware of numerous third-party U.S. and non-U.S. issued patents and pending applications that exist in the technical areas of our pharmaceutical products, including compounds, formulations, treatment methods, and synthetic processes, which may be applied towards the synthesis of hormones, for example. Patent applications are confidential when filed and remain confidential until publication, approximately 18 months after initial filing, while some patent applications remain unpublished until issuance. As such, there may be other third-party patents and pending applications of which we are currently unaware with claims directed towards composition of matter, formulations, methods of manufacture, or methods for treatment related to the use or manufacture of our products or product candidates. Therefore, we cannot ever know with certainty the nature or existence of every third-party patent filing. We cannot provide assurances that our licensees or their partners will be free to manufacture or market our products as planned or that we or the ANNOVERA licensors’ and partners’ patents will not be opposed or litigated by third parties. If any third-party patent was held by a court of competent jurisdiction to cover aspects of our materials, formulations, methods of manufacture, or methods of treatment related to the use or manufacture of any of our products, the holders of any such patent may be able to block our ability to commercialize the applicable product unless we obtained a license or until such patent expires or is finally determined to be held invalid or unenforceable. We may not be able to obtain a license to such patent on favorable terms or at all. Failure to obtain such license may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substantial amount of litigation involving intellectual property in the pharmaceutical industry generally. If a third-party asserts that we infringe its patents or other proprietary rights, we could face many risks that could adversely affect our business, financial condition, results of operations, and prospects,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infringement and other intellectual property claims, which would be costly and time-consuming to defend, whether or not we are ultimately successful, which in turn could delay the regulatory approval process, consume our capital, and divert management’s attention from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substantial damages for past infringement, which we may have to pay if a court determines that our products or technologies infringe a competitor’s patent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court prohibiting us from selling or licensing our technologies or future products unless the third-party licenses its patents or other proprietary rights to us on commercially reasonable terms, which it is not required to do;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 license is available from a third-party, we may have to pay substantial royalties or lump sum payments or grant cross licenses to our patents or other proprietary rights to obtain that license;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redesigning our products so they do not infringe, which may not be possible or may require substantial monetary expenditures and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from time to time to legal proceedings relating to our intellectual property, and third parties in the future may file claims asserting that our technologies, processes, or products infringe on their intellectual property. We cannot predict whether third parties will assert these claims against us or our strategic partners or against the licensors of technology licensed to us or our licensees, or whether those claims will harm our business. In addition, the outcome of intellectual property litigation is subject to uncertainties that cannot be adequately quantified in advance. If we or our partners were to face infringement claims or challenges by third parties relating to our pharmaceutical product candidates, an adverse outcome could subject us to significant liabilities to such third parties, and force us or our partners to curtail or cease the development of some or all of our pharmaceutical product candidates,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certain information, the value of our products and technology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previously relied on trade secrets, know-how, and continuing technological advancement to develop and maintain our competitive position. To protect this competitive position, we regularly enter into confidentiality and proprietary information agreements with third parties, including employees, independent contractors, suppliers, and collaborators. We cannot, however, ensure that these protective arrangements will be honored by third parties, and we may not have adequate remedies if these arrangements are breached. In addition, enforcement of claims that a third-party has illegally obtained and is using trade secrets, know-how, or technological advancements is expensive, time-consuming, and uncertain. Non-U.S. courts are sometimes less willing than U.S. courts to protect this information. Moreover, our trade secrets, know-how, and technological advancements may otherwise become known or be independently developed by competitors in a manner providing us with no practical recourse against the competing parties. If any such events were to occur, they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Company’s continued exploration of strategic alternatives is unsuccessful, our financial condition and results of operations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continues to evaluate a variety of strategic alternatives that may include, but not be limited to, an acquisition, merger or other business combination, or other strategic transactions involving the Company. Any potential strategic alternative would be dependent on a number of factors that may be beyond our control, including, among other things, market conditions, industry trends, regulatory approvals, and the availability of financing for a potential transaction on reasonable terms. We may incur substantial expenses associated with identifying, evaluating, and negotiating potential strategic alternatives. Any potential transaction or other strategic alternative, if consummated, may not provide greater value to our stockholders than that reflected in the current price of our common stock. In addition, perceived uncertainties related to our future may result in the loss of potential business opportunities and volatility in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former employees wrongfully used or disclosed alleged trade secrets of their former employers or of other third parties with whom we have obligations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pharmaceutical industry, we employ and previously employed individuals who were previously employed at other biotechnology or pharmaceutical companies, including our competitors or potential competitors. We may be subject to claims that these former employees, or we, have inadvertently or otherwise used or disclosed trade secrets or other proprietary information of their former employers. Litigation may be necessary to defend against these claims. Such claims may lead to material costs for us, or an inability to protect or use valuable intellectual property rights,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highly volatile,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on Nasdaq is likely to be volatile. This volatility may prevent you from being able to sell your shares at or above the price you paid for your shares. Our stock price could be subject to wide fluctuations in response to a variety of factors,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05"/>
        <w:gridCol w:w="200"/>
        <w:gridCol w:w="4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laws or regulations applicable to our products;</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5"/>
        <w:gridCol w:w="200"/>
        <w:gridCol w:w="5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unanticipated serious safety concerns related to the use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05"/>
        <w:gridCol w:w="200"/>
        <w:gridCol w:w="9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inability for our licensees to obtain adequate supply for our products or the inability to do so at acceptable prices;</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05"/>
        <w:gridCol w:w="200"/>
        <w:gridCol w:w="2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regulatory decisions;</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68"/>
        <w:gridCol w:w="200"/>
        <w:gridCol w:w="39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an adverse ruling in the Mayne Lawsuits;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05"/>
        <w:gridCol w:w="200"/>
        <w:gridCol w:w="6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introduction of new products or technologies offered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effectiveness of our licensees’ commercialization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5"/>
        <w:gridCol w:w="200"/>
        <w:gridCol w:w="9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perception of the pharmaceutical industry by the public, legislatures, regulators, and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
        <w:gridCol w:w="200"/>
        <w:gridCol w:w="5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or anticipated variations in quarterly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failure to meet or exceed the estimates and projections of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overall performance of the U.S. equity markets and general political and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announcements of significant acquisitions, strategic partnerships,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05"/>
        <w:gridCol w:w="200"/>
        <w:gridCol w:w="44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or departures of key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market reaction to any indebtedness we may incur or securities we may issue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our common stock by us or our stockholders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5"/>
        <w:gridCol w:w="200"/>
        <w:gridCol w:w="3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05"/>
        <w:gridCol w:w="200"/>
        <w:gridCol w:w="7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in our common stock available for sale upon expiration of lock-up agreements;</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natural or man-made catastrophic events or other business interruptions; and</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05"/>
        <w:gridCol w:w="200"/>
        <w:gridCol w:w="5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events or factors, many of which are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stock of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us or fail to publish reports on us regularly, we could lose visibility in the financial markets, which might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equity securities, convertible securities or other securities could result in additional dilution of the percentage ownership of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experience dilution upon future equity issuances, including convertible debt or equity securities we may issue in the future, the exercise of stock options to purchase common stock granted to our employee, consultants and directors, including options to purchase common stock granted under our stock option and equity incentive plans or the issuance of common stock in settlement of previously issued awards under our stock option and equity incentive plans that may vest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additional capital will be needed in the future to continue our planned operations. To raise capital, we may sell equity securities, convertible securities or other securities in one or more transactions at prices and in a manner we determine from time to time. If we sell equity securities, convertible securities or other securities current investors may be materially diluted by subsequent sales. We may also need our stockholders to authorize the issuance of additional shares of common stock under our articles of incorporation if we do not have sufficient authorized shares to raise such additional capital or issue future awards under our stock option and equity incentive plans. New investors could also gain rights, preferences, and privileges senior to those of holders of our existing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and maintain various information security processes designed to assess, identify and manage material risks from cybersecurity threats to our critical systems and information. Such processes are integrated into our overall risk management processes. For example, cybersecurity risk is addressed as a component of our enterprise risk management program and has historically been included as part of compliance reports provided to our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contractors and third-party IT vendors help assess, identify and manage our cybersecurity threats and risks by monitoring and evaluating our threat environment and risk profile using various methods including, for example: through the use of automated tools; conducting audits and threat assessments for internal and external threats; analyzing reports of threats and actors; evaluating our and our industry’s risk profile; and evaluating threats reported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 and maintain various technical, physical, and organizational measures, processes, standards and policies designed to manage and mitigate material risks from cybersecurity threats to our critical systems and information, including, for example: multi-factor authentication, encryption, anti-malware functionality, access controls and systems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third-party service providers to perform a variety of functions throughout our business, including but not limited to application providers and hosting companies. All of our critical information is hosted by a third-party service provider. Further, we also rely upon such third-party service providers to both assist us in identifying cybersecurity threats, as well as to review and notify us of any data breach on their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risks from cybersecurity threats that may materially affect us and how they may do so, see our risk factors under Part 1. Item 1A. Risk Factors in this 2025 10-K Report, including the risk factor captioned “We may not be able to maintain effective and efficient information systems or properly safeguard our information systems.” While to date we have not identified any breaches from known cybersecurity threats, including as a result of any prior cybersecurity incidents, that have materially affected or are reasonably likely to materially affect us, including our business strategy, results of operations, or financial condition, the sophistication of cybersecurity threats continues to increase, and the preventative actions we take to reduce the risk of cybersecurity incidents and protect our systems and information may be insufficient. Accordingly, no matter how well our program is designed or implemented, we will not be able to anticipate all security breaches, and we may not be able to implement effective preventive measures against such security breaches in a timely manner. We also carry cybersecurity insurance to protect the Company in the event of a cybersecurity breach and to provide resources if a cybersecurity breach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considers cybersecurity risk as part of its risk oversight function. The Audit Committee of our Board of Directors bears primary responsibility for the oversight of our cybersecurity risk. Periodically management updates our Audit Committee about various risks facing the Company, of which cybersecurity may be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assessment and management processes are implemented and maintained by management and IT consultants. The IT consultants have relevant expertise, experience, education and training as well as knowledge of our company’s critical systems and information technology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incident response processes are designed to escalate certain cybersecurity incidents to our chief executive officer, who would be responsible, along with third parties including our IT consultants, for assessing the materiality of, and mitigating and remediating, any cybersecurity incidents of which we are notified. In addition, our incident response processes include a procedure for reporting certain cybersecurity incidents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a fully remote environment. We have a lease in Boca Raton, Florida that includes 62,748 rentable square feet, or the full premises, of which the lease of 7,561 square feet commenced in 2018 and the lease of 55,187 square feet commenced in August of 2019, or the full premises commencement date. In June 2019, we entered into an agreement with the same lessors to lease an additional 6,536 square feet of administrative office space in the same location, pursuant to an addendum to such lease, which commenced in May 2020. The lease will expire 11 years after the full premises commencement date, unless terminated earlier in accordance with the terms of the lease. We have the option to extend the term of the lease for two additional consecutive periods of five years. The extension option is not included in the determination of the lease term as it is not reasonably certain to be exercised. The term of the lease includes escalating rent and free rent periods. We are also responsible for certain other operating costs under the lease, including electricity and utility expenses. We have sublet all of our leased property in Boca Raton as a result of shifting our business to become a pharmaceutical royalty company and terminating our employees.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December 31, 2025,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consolidated balance sheets, and such costs will be amortized over the remaining useful life of the patents. If we are unsuccessful in this legal proceeding, then the related capitalized legal costs for this legal proceeding and any unamortized IMVEXXY patent costs that were previously capitalized will be immediately expensed in the period in which we become aware of an unsuccessful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Mayne Pharma received the Sun Notice Letter regarding an ANDA submitted to the FDA by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 As of December 31, 2025, the litigation remains ongoing and has progressed to claim construction, which the courts determine the meaning and scope of the asserted patent claims that will govern subsequent infringement and validity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30, 2022 and per the Mayne License Agreement, Mayne Pharma is responsible for all enforcement of our patents, including the responsibility for and costs of litigation discussed above with respect to Teva and Sun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other litigations and proceedings in the ordinary course of business. We are currently not involved in any other litigations and proceedings that we believe would have a material effect on our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33"/>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 market information 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2017, our common stock has been listed on the Nasdaq Global Select Market (“Nasdaq”) under the symbol “TXMD.”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closing price of our common stock on Nasdaq was $1.63 per share. As of March 30, 2026, there were 58 stockholders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Exchange Act and pursuant to Instruction 6 to Item 201(e) of Regulation S-K,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not paid dividends on our common stock, and we currently do not intend to pay any dividends on our common stock in the foreseeable future. We currently plan to retain any earnings for the operation of our business rather than to pay cash dividends. Payments of any cash dividends in the future will depend on our financial condition, results of operations, and capital requirements as well as other factors deemed relevant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discussion and analysis in conjunction with the information set forth under our consolidated financial statements and the notes to those financial statements included elsewhere in this 2025 10-K Report. This discussion contains forward-looking statements based upon current expectations that involve risks and uncertainties. See “Statement Regarding Forward-Looking Information.” Our actual results may differ materially from those contained in or implied by any forward-looking statements as a result of various factors, including, but not limited to, the risks and uncertainties described under “Risk Factors” elsewhere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Management’s discussion and analysis of financial condition and results of operations may not add due to rounding, and all percentages have been calculated using unrounded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relevant territories. On December 30, 2022 (the “Closing Date”), we completed a transaction (the “Mayne Transaction”) with Mayne Pharma LLC, a Delaware limited liability company (“Mayne Pharma”) and subsidiary of Mayne Pharma Group Limited, an Australian public company (“Mayne Pharma Group”),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 Additional disclosures regarding discontinued operations are provided in Note 2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license agreements with strategic partners to commercialize IMVEXXY and BIJUVA outside of the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the “Knight License Agreement” with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June 2019, we entered into the “Theramex License Agreement” with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05"/>
        <w:gridCol w:w="200"/>
        <w:gridCol w:w="9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of our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IMVEXXY (estradiol vaginal inserts), 4-μg and 10-μg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for the treatment of moderate-to-severe dyspareunia (vaginal pain associated with sexual activity), a symptom of vulvar and vaginal atrophy due to menopause. As part of the FDA’s approval of IMVEXXY, we committed to conduct a post-approval observational study to evaluate the risk of endometrial cancer in post-menopausal women with a uterus who use a low-dose vaginal estrogen unopposed by a progestogen.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BIJUVA (estradiol and progesterone) capsules, 1 mg/100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ANNOVERA (segesterone acetate (“SA”) and ethinyl estradiol (“EE”) vaginal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a one-year ring-shaped contraceptive vaginal system (“CVS”) and the first and only patient-controlled, procedure-free, reversible prescription contraceptive that can prevent pregnancy for up to a total of 13 cycles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assigned our exclusive license to commercialize ANNOVERA in the United States and its possessions and territories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Prenatal vitamin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the Company’s consolidated financial statements for all periods prior to the Closing Date. Assets and liabilities associated with the commercial business are classified as assets and liabilities of discontinued operations in the Company’s consolidated balance sheets. Additional disclosures regarding discontinued operations are provided in Note 2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results of our operations (in thousands):</w:t>
      </w:r>
    </w:p>
    <w:p>
      <w:pPr>
        <w:pStyle w:val="TextBody"/>
        <w:bidi w:val="0"/>
        <w:spacing w:before="0" w:after="0"/>
        <w:ind w:left="0" w:right="0" w:hanging="0"/>
        <w:jc w:val="left"/>
        <w:rPr>
          <w:caps w:val="false"/>
          <w:smallCaps w:val="false"/>
        </w:rPr>
      </w:pPr>
      <w:r>
        <w:rPr>
          <w:caps w:val="false"/>
          <w:smallCaps w:val="false"/>
        </w:rPr>
        <w:t> </w:t>
      </w:r>
    </w:p>
    <w:tbl>
      <w:tblPr>
        <w:tblW w:w="8412" w:type="dxa"/>
        <w:jc w:val="left"/>
        <w:tblInd w:w="0" w:type="dxa"/>
        <w:tblLayout w:type="fixed"/>
        <w:tblCellMar>
          <w:top w:w="0" w:type="dxa"/>
          <w:left w:w="0" w:type="dxa"/>
          <w:bottom w:w="0" w:type="dxa"/>
          <w:right w:w="0" w:type="dxa"/>
        </w:tblCellMar>
      </w:tblPr>
      <w:tblGrid>
        <w:gridCol w:w="5525"/>
        <w:gridCol w:w="90"/>
        <w:gridCol w:w="237"/>
        <w:gridCol w:w="927"/>
        <w:gridCol w:w="174"/>
        <w:gridCol w:w="125"/>
        <w:gridCol w:w="237"/>
        <w:gridCol w:w="927"/>
        <w:gridCol w:w="170"/>
      </w:tblGrid>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Revenue, net:</w:t>
            </w:r>
          </w:p>
        </w:tc>
        <w:tc>
          <w:tcPr>
            <w:tcW w:w="9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3,022</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1,761</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6,852</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6,096</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Write-off and impairment of patents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176</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1,268</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Depreciation &amp; amortization</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509</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7,412</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7,873</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(4,390</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Interest income, net</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142</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Sublease income</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1,847</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1,352</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Miscellaneous income</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1,748</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2,282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other income</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3,737</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3,769</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(653</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(2,343</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(653</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(2,312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from discontinued operations, net of income taxes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84</w:t>
            </w:r>
          </w:p>
        </w:tc>
        <w:tc>
          <w:tcPr>
            <w:tcW w:w="1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10" w:space="0" w:color="000000"/>
            </w:tcBorders>
            <w:shd w:fill="CCEEFF" w:val="clear"/>
            <w:tcMar>
              <w:bottom w:w="28" w:type="dxa"/>
            </w:tcMar>
            <w:vAlign w:val="center"/>
          </w:tcPr>
          <w:p>
            <w:pPr>
              <w:pStyle w:val="TableContents"/>
              <w:bidi w:val="0"/>
              <w:spacing w:before="0" w:after="283"/>
              <w:jc w:val="right"/>
              <w:rPr/>
            </w:pPr>
            <w:r>
              <w:rPr/>
              <w:t>(569</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10" w:space="0" w:color="000000"/>
            </w:tcBorders>
            <w:shd w:fill="CCEEFF" w:val="clear"/>
            <w:tcMar>
              <w:bottom w:w="28" w:type="dxa"/>
            </w:tcMar>
            <w:vAlign w:val="center"/>
          </w:tcPr>
          <w:p>
            <w:pPr>
              <w:pStyle w:val="TableContents"/>
              <w:bidi w:val="0"/>
              <w:spacing w:before="0" w:after="283"/>
              <w:jc w:val="right"/>
              <w:rPr/>
            </w:pPr>
            <w:r>
              <w:rPr/>
              <w:t>(2,181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w:t>
      </w:r>
      <w:r>
        <w:rPr>
          <w:rFonts w:ascii="Times New Roman;Times;Serif" w:hAnsi="Times New Roman;Times;Serif"/>
          <w:b w:val="false"/>
          <w:i w:val="false"/>
          <w:caps w:val="false"/>
          <w:smallCaps w:val="false"/>
          <w:sz w:val="20"/>
        </w:rPr>
        <w:t>As part of our transformation and the Mayne License Agreement, all results associated with former commercial operations have been reflected as discontinued operations in the Company’s consolidated financial statements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$3,022 thousand in license revenue during the year ended December 31, 2025 primarily from the Mayne License Agreement, an increase of $1,261 thousand, or 71.6%, compared to $1,761 thousand in license revenue during the year ended December 31, 2024. The increase is primarily attributable to changes in sales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w:t>
      </w:r>
      <w:r>
        <w:rPr>
          <w:rFonts w:ascii="Times New Roman;Times;Serif" w:hAnsi="Times New Roman;Times;Serif"/>
          <w:b w:val="false"/>
          <w:i w:val="false"/>
          <w:caps w:val="false"/>
          <w:smallCaps w:val="false"/>
          <w:sz w:val="20"/>
        </w:rPr>
        <w:t>General and administrative expenses for 2025 were $6,852 thousand, an increase of $756 thousand, or 12.4%, compared to $6,096 thousand for 2024. This increase was primarily attributable to higher bonus expense and increased investor relations costs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Write-off and impairment of patents</w:t>
      </w:r>
      <w:r>
        <w:rPr>
          <w:rFonts w:ascii="Times New Roman;Times;Serif" w:hAnsi="Times New Roman;Times;Serif"/>
          <w:b w:val="false"/>
          <w:i w:val="false"/>
          <w:caps w:val="false"/>
          <w:smallCaps w:val="false"/>
          <w:sz w:val="20"/>
        </w:rPr>
        <w:t>. We recognized a $176 thousand write-off for abandoned patents and application in 2025, compared to a $1,268 thousand impairment loss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&amp; amortization. </w:t>
      </w:r>
      <w:r>
        <w:rPr>
          <w:rFonts w:ascii="Times New Roman;Times;Serif" w:hAnsi="Times New Roman;Times;Serif"/>
          <w:b w:val="false"/>
          <w:i w:val="false"/>
          <w:caps w:val="false"/>
          <w:smallCaps w:val="false"/>
          <w:sz w:val="20"/>
        </w:rPr>
        <w:t>Depreciation and amortization expense for 2025 was $384 thousand, a decrease of $125 thousand, or 24.6%, compared to $509 thousand for 2024. This balance is entirely comprised of amortization of license rights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expenses. </w:t>
      </w:r>
      <w:r>
        <w:rPr>
          <w:rFonts w:ascii="Times New Roman;Times;Serif" w:hAnsi="Times New Roman;Times;Serif"/>
          <w:b w:val="false"/>
          <w:i w:val="false"/>
          <w:caps w:val="false"/>
          <w:smallCaps w:val="false"/>
          <w:sz w:val="20"/>
        </w:rPr>
        <w:t>Total operating expenses for 2025 were $7,412 thousand, a decrease of $461 thousand, or 5.9%, compared to $7,873 thousand for 2024. The decrease was primarily attributable to lower impairment charges recognized in 2025 compared to 2024, which was partially offset by higher bonus expense and increased costs related to investor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Loss from operations. </w:t>
      </w:r>
      <w:r>
        <w:rPr>
          <w:rFonts w:ascii="Times New Roman;Times;Serif" w:hAnsi="Times New Roman;Times;Serif"/>
          <w:b w:val="false"/>
          <w:i w:val="false"/>
          <w:caps w:val="false"/>
          <w:smallCaps w:val="false"/>
          <w:sz w:val="20"/>
        </w:rPr>
        <w:t>For 2025, we had a loss from operations of $4,390 thousand, a decrease in loss of $1,722 thousand, or 28.2%, compared to loss from operations of $6,112 thousand for 2024. This change reflects the increase in sales from licensed products and the increased efficiencies realized as a royalty-based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income. </w:t>
      </w:r>
      <w:r>
        <w:rPr>
          <w:rFonts w:ascii="Times New Roman;Times;Serif" w:hAnsi="Times New Roman;Times;Serif"/>
          <w:b w:val="false"/>
          <w:i w:val="false"/>
          <w:caps w:val="false"/>
          <w:smallCaps w:val="false"/>
          <w:sz w:val="20"/>
        </w:rPr>
        <w:t>In 2025, we had other income of $3,737 thousand, a decrease of $32 thousand, or 0.8%, compared to other income of $3,769 thousand in 2024. The decrease was primarily attributable to the absence of rental settlement gain and contract breakage settlements recognized in 2024, which was partially offset by the higher sublease income and increased royalty income from Mayne Pharma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Benefit for income taxes</w:t>
      </w:r>
      <w:r>
        <w:rPr>
          <w:rFonts w:ascii="Times New Roman;Times;Serif" w:hAnsi="Times New Roman;Times;Serif"/>
          <w:b w:val="false"/>
          <w:i w:val="false"/>
          <w:caps w:val="false"/>
          <w:smallCaps w:val="false"/>
          <w:sz w:val="20"/>
        </w:rPr>
        <w:t>. For 2025, no income tax benefits was recognized from continuing operations. In 2024, the Company recognized $31 thousand income tax benefits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 from continuing operations</w:t>
      </w:r>
      <w:r>
        <w:rPr>
          <w:rFonts w:ascii="Times New Roman;Times;Serif" w:hAnsi="Times New Roman;Times;Serif"/>
          <w:b w:val="false"/>
          <w:i w:val="false"/>
          <w:caps w:val="false"/>
          <w:smallCaps w:val="false"/>
          <w:sz w:val="20"/>
        </w:rPr>
        <w:t>. For 2025, we had net loss from continuing operations of $653 thousand, or $0.06 per basic and diluted common share, a decrease in loss of $1,659 thousand, compared to net loss from continuing operations of $2,312 thousand, or $0.20 per basic and diluted common share,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Discontinued Operations. </w:t>
      </w:r>
      <w:r>
        <w:rPr>
          <w:rFonts w:ascii="Times New Roman;Times;Serif" w:hAnsi="Times New Roman;Times;Serif"/>
          <w:b w:val="false"/>
          <w:i w:val="false"/>
          <w:caps w:val="false"/>
          <w:smallCaps w:val="false"/>
          <w:sz w:val="20"/>
        </w:rPr>
        <w:t>For 2025, net income from discontinued operations was $84 thousand, a decrease of $47 thousand, compared to net income from discontinued operations of $131 thousand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“Note 2. Discontinued Operations”, in the notes to the consolidated financial statements appearing elsewhere in this 2025 10-K Report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our continuing operations. We have funded our operations primarily through revenue from licensed royalties, public offerings of our common stock and private placements of equity and debt securities, and the transactions with Mayne Pharma. As of December 31, 2025, we had cash and cash equivalents totaling $7,483 thousand. We maintain cash at financial institutions that at times may exceed the Federal Deposit Insurance Corporation insured limits of $250 thousand per bank. We have never experienced any losses related to these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Mayne Pharma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Mayne Pharma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 The total consideration from Mayne Pharma to us under the Mayne License Agreement consisted of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and (iv) the right to receive the contingent consideration set forth in the Mayne License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has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has agreed to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has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 with Rubric Capital Management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the Subscription Agreement with Rubric, pursuant to which we agreed to sell to Rubric, or one or more of its affiliates, up to an aggregate of 5,000,000 shares of Common Stock, from time to time during the term of the Subscription Agreement in separate drawdowns at our election, at a purchase price of the five-day volume-weighted average price of our common stock at the time of the sale of such shares, at an aggregate purchase price of up to $5,000,000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draw-down occurred on June 29, 2023, consisting of a sale of 312,525 shares of Common Stock at a price per share equal to $3.6797. We received gross proceeds of $1.15 million from the drawdown, before expenses. On November 15, 2023, Rubric drew an additional 877,192 shares of Common Stock at a price per share equal to $2.2761. We received gross proceeds of $2.0 million from the draw-down, before expenses. There were no draw-downs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“Going Concern” above for further discussion related to our ability to generate and obtain adequate amounts of cash to meet our liquidity needs and our plans to satisfy our such needs in the short-term and in the long-term. As a result, there is substantial doubt about our ability to continue as a going concern for the next twelve months from the issuance of the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major categories of cash flows from continuing operations for each of the periods (in thousands).</w:t>
      </w:r>
    </w:p>
    <w:p>
      <w:pPr>
        <w:pStyle w:val="TextBody"/>
        <w:bidi w:val="0"/>
        <w:spacing w:before="0" w:after="0"/>
        <w:ind w:left="0" w:right="0" w:hanging="0"/>
        <w:jc w:val="left"/>
        <w:rPr>
          <w:caps w:val="false"/>
          <w:smallCaps w:val="false"/>
        </w:rPr>
      </w:pPr>
      <w:r>
        <w:rPr>
          <w:caps w:val="false"/>
          <w:smallCaps w:val="false"/>
        </w:rPr>
        <w:t> </w:t>
      </w:r>
    </w:p>
    <w:tbl>
      <w:tblPr>
        <w:tblW w:w="6807" w:type="dxa"/>
        <w:jc w:val="left"/>
        <w:tblInd w:w="0" w:type="dxa"/>
        <w:tblLayout w:type="fixed"/>
        <w:tblCellMar>
          <w:top w:w="0" w:type="dxa"/>
          <w:left w:w="0" w:type="dxa"/>
          <w:bottom w:w="0" w:type="dxa"/>
          <w:right w:w="0" w:type="dxa"/>
        </w:tblCellMar>
      </w:tblPr>
      <w:tblGrid>
        <w:gridCol w:w="3920"/>
        <w:gridCol w:w="90"/>
        <w:gridCol w:w="257"/>
        <w:gridCol w:w="894"/>
        <w:gridCol w:w="189"/>
        <w:gridCol w:w="136"/>
        <w:gridCol w:w="257"/>
        <w:gridCol w:w="894"/>
        <w:gridCol w:w="170"/>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3920" w:type="dxa"/>
            <w:tcBorders>
              <w:bottom w:val="single" w:sz="12" w:space="0" w:color="000000"/>
            </w:tcBorders>
            <w:tcMar>
              <w:bottom w:w="28" w:type="dxa"/>
            </w:tcMar>
            <w:vAlign w:val="center"/>
          </w:tcPr>
          <w:p>
            <w:pPr>
              <w:pStyle w:val="TableContents"/>
              <w:bidi w:val="0"/>
              <w:spacing w:before="0" w:after="283"/>
              <w:jc w:val="left"/>
              <w:rPr/>
            </w:pPr>
            <w:r>
              <w:rPr/>
              <w:t>Cash flow from continuing operations</w:t>
            </w:r>
          </w:p>
        </w:tc>
        <w:tc>
          <w:tcPr>
            <w:tcW w:w="90" w:type="dxa"/>
            <w:tcBorders/>
            <w:vAlign w:val="center"/>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89"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provided by operating activities</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2,454</w:t>
            </w:r>
          </w:p>
        </w:tc>
        <w:tc>
          <w:tcPr>
            <w:tcW w:w="18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1,170</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cash used in discontinued operations</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4"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8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4" w:type="dxa"/>
            <w:tcBorders>
              <w:bottom w:val="single" w:sz="12" w:space="0" w:color="000000"/>
            </w:tcBorders>
            <w:tcMar>
              <w:bottom w:w="28" w:type="dxa"/>
            </w:tcMar>
            <w:vAlign w:val="center"/>
          </w:tcPr>
          <w:p>
            <w:pPr>
              <w:pStyle w:val="TableContents"/>
              <w:bidi w:val="0"/>
              <w:spacing w:before="0" w:after="283"/>
              <w:jc w:val="right"/>
              <w:rPr/>
            </w:pPr>
            <w:r>
              <w:rPr/>
              <w:t>(438</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increase in cash</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4" w:type="dxa"/>
            <w:tcBorders>
              <w:bottom w:val="double" w:sz="10" w:space="0" w:color="000000"/>
            </w:tcBorders>
            <w:shd w:fill="CCEEFF" w:val="clear"/>
            <w:tcMar>
              <w:bottom w:w="28" w:type="dxa"/>
            </w:tcMar>
            <w:vAlign w:val="center"/>
          </w:tcPr>
          <w:p>
            <w:pPr>
              <w:pStyle w:val="TableContents"/>
              <w:bidi w:val="0"/>
              <w:spacing w:before="0" w:after="283"/>
              <w:jc w:val="right"/>
              <w:rPr/>
            </w:pPr>
            <w:r>
              <w:rPr/>
              <w:t>2,424</w:t>
            </w:r>
          </w:p>
        </w:tc>
        <w:tc>
          <w:tcPr>
            <w:tcW w:w="18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4" w:type="dxa"/>
            <w:tcBorders>
              <w:bottom w:val="double" w:sz="10" w:space="0" w:color="000000"/>
            </w:tcBorders>
            <w:shd w:fill="CCEEFF" w:val="clear"/>
            <w:tcMar>
              <w:bottom w:w="28" w:type="dxa"/>
            </w:tcMar>
            <w:vAlign w:val="center"/>
          </w:tcPr>
          <w:p>
            <w:pPr>
              <w:pStyle w:val="TableContents"/>
              <w:bidi w:val="0"/>
              <w:spacing w:before="0" w:after="283"/>
              <w:jc w:val="right"/>
              <w:rPr/>
            </w:pPr>
            <w:r>
              <w:rPr/>
              <w:t>732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Activities from continuing operations. </w:t>
      </w:r>
      <w:r>
        <w:rPr>
          <w:rFonts w:ascii="Times New Roman;Times;Serif" w:hAnsi="Times New Roman;Times;Serif"/>
          <w:b w:val="false"/>
          <w:i w:val="false"/>
          <w:caps w:val="false"/>
          <w:smallCaps w:val="false"/>
          <w:sz w:val="20"/>
        </w:rPr>
        <w:t>Net cash provided by operating activities in 2025 was $2,454 thousand, an increase of $1,284 thousand, compared to net cash provided in operating activities of $1,170 thousand for 2024. This increase was primarily driven by the significant reduction in loss from continuing operations and favorable changes in accrued expenses and other current liabilities, partially offset by lower non-cash adjustments such decreased long-lived asset impairment charges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Financing Activities from continuing operations. </w:t>
      </w:r>
      <w:r>
        <w:rPr>
          <w:rFonts w:ascii="Times New Roman;Times;Serif" w:hAnsi="Times New Roman;Times;Serif"/>
          <w:b w:val="false"/>
          <w:i w:val="false"/>
          <w:caps w:val="false"/>
          <w:smallCaps w:val="false"/>
          <w:sz w:val="20"/>
        </w:rPr>
        <w:t>There was no cash received from financing activities for both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Net cash used in discontinued operations. </w:t>
      </w:r>
      <w:r>
        <w:rPr>
          <w:rFonts w:ascii="Times New Roman;Times;Serif" w:hAnsi="Times New Roman;Times;Serif"/>
          <w:b w:val="false"/>
          <w:i w:val="false"/>
          <w:caps w:val="false"/>
          <w:smallCaps w:val="false"/>
          <w:sz w:val="20"/>
        </w:rPr>
        <w:t>Net cash used in discontinued operations for 2025 was $30 thousand, a decrease of $408 thousand, as compared to net cash used in discontinued operations of $438 thousand for 2024. This change relates primarily to a decreased level of activities associated with our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see the consolidated statements of cash flows included in our consolidated financial statements in this 2025 10-K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liquidity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Receivable from Mayne Pharma.</w:t>
      </w:r>
      <w:r>
        <w:rPr>
          <w:rFonts w:ascii="Times New Roman;Times;Serif" w:hAnsi="Times New Roman;Times;Serif"/>
          <w:b w:val="false"/>
          <w:i w:val="false"/>
          <w:caps w:val="false"/>
          <w:smallCaps w:val="false"/>
          <w:sz w:val="20"/>
        </w:rPr>
        <w:t xml:space="preserve"> On December 30, 2022, Mayne Pharma acquired our accounts receivable balance of approximately $29.3 million which is subject to certain working capital adjustments. As of December 31, 2025, and 2024, we had a royalty receivable of $3,159 thousand and $3,327 thousand, respectively, relating to the short-term portion of royalty receivable from Mayne Pharma and $13,713 thousand and $16,010 thousand, respectively relating to the long-term portion of royalty receivable which includes royalties recognized from the Minimum Annual Royalty. See “Note 1 Business, basis of presentation, new accounting standards and summary of significant accounting policies (Revenue Recognition)”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off-balance sheet arrangements, purchase commitments and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obligations and off-balance sheet arrangements are discussed below. For additional information on any of the following and other obligations and arrangements, see “Note 7. Commitments and Contingencies”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enter into agreements with third parties that include indemnification provisions, which, in our judgment, are normal and customary for companies in our industry sector. Pursuant to these agreements, we agree to indemnify, hold harmless, and reimburse indemnified parties for losses suffered, for which there may or may not be limitations on potential damages. The maximum potential amount of future payments we could be required to make under these indemnification provisions is sometimes unlimited. As a result, the estimated fair value of liabilities relating to these provisions is minimal. Accordingly, we had no liabilities recorded for these provisions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as set forth by accounting principles generally accepted in the United States of America (“U.S. GAAP”), an estimate is made of the loss and the appropriate accounting entries are reflected in our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commitments is in “Note 7. Commitments and contingencies”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employment agreements is in “Note 7. Commitments and contingencies”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our financial condition and results of operations are based upon our consolidated financial statements included elsewhere in this 2025 10-K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summary of significant accounting policies”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comprise activities that were disposed of at the end of the period, represent a separate major line of business that can be clearly distinguished for operational and financial reporting purposes and represent a business shift having a major effect on the Company’s operations and financial results according to Accounting Standard Codification (“ASC”) Topic 205, Presentation of Financial Statements. In 2022, we started classifying commercial activities as discontinued operations due to the cessation of these operations. For additional information, see “Note 2. Discontinued Operations”, in the notes to the consolidated financial statements appearing elsewhere in this 2025 10-K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contingencies – Mayne Pharma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arrangements may consist of non-refundable upfront license fees, exclusive licensed rights to patented or patent pending technology, and various performance or sales milestones and future product royalty payments. Some of these arrangements may include multiple performance obligations. Non-refundable up-front fees that are not contingent on any future performance by us, and do not require continuing involvement on our part, are recognized as revenue when the right to use functional intellectual property is transferred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closed a License Agreement with Mayne Pharma pursuant to which we sold to Mayne Pharma the exclusive license rights in our product ANNOVERA and granted an exclusive license in other products, including IMVEXXY and BIJUVA. Under the terms of the License Agreement, we received $140 million at closing and we are eligible to receive additional payments in the aggregate of up to an additional $30 million based on the achievement of sales milestones (collectively, the “Milestone Amounts”). The proceeds at closing were allocated between consideration for the sale of ANNOVERA and the initial license fee for the Licensed Products, as the sale of ANNOVERA was accounted for under ASC 610-20, Gains and Losses from Derecognition of Nonfinancial Assets in arriving at the gain on disposal (see Note 2 to the consolidated financial statements included in this 2025 10-K Report), while the license grant of the other products were recognized under the provisions of ASC 606, Revenue from Contracts with Customers, as a license of functional intellectual asset. The proceeds were allocated among the Licensed Products on the relative net present value of forecasted future product sales from those products. The Milestone Amounts will be recognized, as applicable, in subsequent periods based on actual product sales that exceed the respective net sales milestones as such variable consideration is constrained by the occurrence of the subsequent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royalty revenue recognized in 2025 and 2024 primarily related to royalties provided for under the Mayne License Agreement based on Mayne Pharma’s sales of the Licensed Products subject to that agreement. Under the Mayne License Agreement, the Company is entitled to earn royalties on net sales of all of the Licensed Products at a royalty rate of (i) 8% on the first $80 million of net sales of the Licensed Products and (ii) 7.5% on net sales of all of the Licensed Products after the first $80 million of net sales. The royalty rate is subject to a 2% reduction upon the earlier to occur of (i) the expiration or revocation of the last valid claim covering a Licensed Product, and (ii) a generic product launch (a “LOE”). We are entitled to minimum annual royalties beginning with the year ending December 31, 2023 ($3 million annual minimum) and continuing with 3% annual increases through the year ending December 31, 2034 (the “Minimum Annual Royalty”). The Minimum Annual Royalty originally totaled $42.6 million, and this total amount was allocated among the Licensed Products on the relative net present value of forecasted future product sales from those products. The portion allocated to consideration for the sale of ANNOVERA was attributed towards the gain on disposal of that asset. For the remaining portion allocated to the license grants for the other products, we determined that the minimum guarantee underlying the Minimum Annual Royalty should be treated as fixed consideration and recognized under ASC 606 at the point in time when the license was transferred. Since the Minimum Annual Royalty will be received in annual installments through 2034, we determined the transaction price allocated under ASC 606 contained a significant financing component, and we therefore determined the initial royalty revenue and corresponding receivable based on the present value of the allocated Minimum Annual Royalty. The present value was calculated using a discount rate of 10.45%, based on the credit characteristics of Mayne Pharma and the timing of future payments, and the value will be accreted to full value through the earlier of January 1, 2034 or a LOE. This royalty receivable is a contract asset as of December 31, 2025, and is further subject to offset by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revenue earned in excess of the Minimum Annual Royalty will be recognized under ASC 606, which provides revenue recognition constraints by requiring the recognition of revenue at the later of the following: 1) when the subsequent sale occurs or 2) when the performance obligation to which some or all of the sales-based royalty has been allocated has been satisfied (or partially satisfied). We applied the royalty recognition constraint required under the guidance for sales-based royalties, which requires a sales-based royalty to be recorded no sooner than the underlying sale. Therefore, royalties on sales of products commercialized by Mayne Pharma will be recognized in the subsequent periods that the Licensed Products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discussion on revenue, see “I. Revenue recognition” in “Note 1. Basis of presentation, new accounting standards and summary of significant accounting policies”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accounting standards issued or effective in 2025 is included in “Note 1. Basis of Presentation, New Accounting Standards and Significant Accounting Policies”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Exchange Act, and pursuant to Instruction 6 to Item 201(e) of Regulation S-K,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financial statements, the notes thereto, and the report thereon, commencing on page F-1 of this 2025 10-K Report, which financial statements, notes, and reports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 xml:space="preserve">Item 9. Change in and disagreements with accountants on accounting and financial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evaluated the effectiveness of our disclosure controls and procedures (as defined in the Exchange Act Rules 13a-15(e) or 15d-15(e)) as of the end of the period covered by this 2025 10-K Report. Based on that evaluation, our Principal Executive Officer and Principal Financial and Accounting Officer concluded that, as of December 31, 2025, our disclosure controls and procedures were effective to ensure that information required to be disclosed by us in the reports we file or submit under the Exchange Act is (i) recorded, processed, summarized, and reported within the time periods specified in the SEC rules and forms, and (ii) is accumulated and communicated to our management, including our Principal Executive Officer and Principal Financial and Accounting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our internal control over financial reporting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Inherent limitations on effectiveness of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because of changes in conditions, or through the deterioration of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under Exchange Act Rules 13a-15(f) and 15d-15(f). Our internal control over financial reporting is a process designed to provide reasonable assurance regarding the reliability of financial reporting and the preparation of financial statements for external purposes in accordance with U.S. GAAP. Internal control over financial reporting includes those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our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assessed the effectiveness of our internal control over financial reporting as of December 31, 2025. In making this assessment, our management used the criteria set forth by the Committee of Sponsoring Organizations of the Treadway Commission (COSO) in Internal Control — Integrated Framework (2013). Management’s assessment included an evaluation of the design of our internal control over financial reporting and testing of the operational effectiveness of its internal control over financial reporting. Based on management’s assessment, we believe that our internal controls over financial reporting were effective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2025 10-K Report does not include an attestation report of the Company’s registered public accounting firm regarding internal control over financial reporting. Management’s report was not subject to attestation by the Company’s registered public accounting firm pursuant to the rules of the SEC that permit the Company to provide only management’s report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 xml:space="preserve">Item 9C. Disclosure regarding foreign jurisdictions that prevent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t_001"/>
      <w:bookmarkEnd w:id="2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current directors of the Company.</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2015"/>
        <w:gridCol w:w="90"/>
        <w:gridCol w:w="380"/>
        <w:gridCol w:w="90"/>
        <w:gridCol w:w="2195"/>
      </w:tblGrid>
      <w:tr>
        <w:trPr/>
        <w:tc>
          <w:tcPr>
            <w:tcW w:w="20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Chairman of the Board </w:t>
            </w:r>
            <w:r>
              <w:rPr>
                <w:rFonts w:ascii="Times New Roman;Times;Serif" w:hAnsi="Times New Roman;Times;Serif"/>
                <w:position w:val="7"/>
                <w:sz w:val="16"/>
                <w:sz w:val="20"/>
              </w:rPr>
              <w:t>(2)</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 C. Collins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r>
              <w:rPr>
                <w:rFonts w:ascii="Times New Roman;Times;Serif" w:hAnsi="Times New Roman;Times;Serif"/>
                <w:position w:val="7"/>
                <w:sz w:val="16"/>
                <w:sz w:val="20"/>
              </w:rPr>
              <w:t>(1)(2)</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Gail K.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r>
              <w:rPr>
                <w:rFonts w:ascii="Times New Roman;Times;Serif" w:hAnsi="Times New Roman;Times;Serif"/>
                <w:position w:val="7"/>
                <w:sz w:val="16"/>
                <w:sz w:val="20"/>
              </w:rPr>
              <w:t>(1)</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H. Roberts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r>
              <w:rPr>
                <w:rFonts w:ascii="Times New Roman;Times;Serif" w:hAnsi="Times New Roman;Times;Serif"/>
                <w:position w:val="7"/>
                <w:sz w:val="16"/>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of the Compensation Committee.</w:t>
            </w:r>
          </w:p>
        </w:tc>
      </w:tr>
    </w:tbl>
    <w:tbl>
      <w:tblPr>
        <w:tblW w:w="3115" w:type="dxa"/>
        <w:jc w:val="left"/>
        <w:tblInd w:w="0" w:type="dxa"/>
        <w:tblLayout w:type="fixed"/>
        <w:tblCellMar>
          <w:top w:w="0" w:type="dxa"/>
          <w:left w:w="0" w:type="dxa"/>
          <w:bottom w:w="0" w:type="dxa"/>
          <w:right w:w="0" w:type="dxa"/>
        </w:tblCellMar>
      </w:tblPr>
      <w:tblGrid>
        <w:gridCol w:w="290"/>
        <w:gridCol w:w="28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Member of the Audit Committee.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5"/>
        <w:gridCol w:w="90"/>
        <w:gridCol w:w="8890"/>
      </w:tblGrid>
      <w:tr>
        <w:trPr/>
        <w:tc>
          <w:tcPr>
            <w:tcW w:w="122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TOMMY G. THOMPSON</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of the Board</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84</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tc>
        <w:tc>
          <w:tcPr>
            <w:tcW w:w="90" w:type="dxa"/>
            <w:tcBorders/>
            <w:vAlign w:val="center"/>
          </w:tcPr>
          <w:p>
            <w:pPr>
              <w:pStyle w:val="TableContents"/>
              <w:bidi w:val="0"/>
              <w:spacing w:before="0" w:after="283"/>
              <w:ind w:left="0" w:right="0" w:hanging="0"/>
              <w:jc w:val="left"/>
              <w:rPr/>
            </w:pPr>
            <w:r>
              <w:rPr/>
              <w:t> </w:t>
            </w:r>
          </w:p>
        </w:tc>
        <w:tc>
          <w:tcPr>
            <w:tcW w:w="88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Tommy G. Thompson has served as a director of our Company since May 2012 and as the Chairman of the Board of Directors since March 2024. He previously served as the Chairman of the Board of Directors from May 2012 until September 2022 and as Executive Chairman of the Board from September 2022 until March 2024. From July 2020 until March 2022, Secretary Thompson served as the Interim President of the University of Wisconsin system. Secretary Thompson also serves as the Chief Executive Officer of Thompson Holdings, a consulting firm. As the Governor of Wisconsin from January 1987 to February 2001, Secretary Thompson was perhaps best known for his efforts to revitalize the Wisconsin economy, for his national leadership on welfare reform, and for his work toward expanding healthcare access across all segments of society. As the former Secretary of the U.S. Department of Health &amp; Human Services, or HHS, from February 2001 to January 2005, Secretary Thompson served as the nation’s leading advocate for the health and welfare of all Americans. Secretary Thompson was a partner in the law firm of Akin Gump Strauss Hauer &amp; Feld LLP, or Akin Gump, from March 2005 to January 2012, when he resigned to run for the United States Senate. Secretary Thompson served as an Independent Chairman of the Deloitte Center for Health Solutions, a healthcare consulting company, from March 2005 to May 2009. At the Deloitte Center for Health Solutions and at Akin Gump, Secretary Thompson built on his efforts at HHS to work toward developing solutions to the healthcare challenges facing American families, businesses, communities, states, and the nation as a whole. Secretary Thompson has also served as the President of Logistics Health, Inc., a provider of medical readiness and homeland security solutions, from February 2005 to January 2011. Secretary Thompson has served as a Senior Fellow for the Bipartisan Policy Center, a non -profit organization focused on bipartisan advocacy and policymaking, since July 2013. Secretary Thompson also serves as a member of the board of directors for United Therapeutics Corporation [NASDAQ: UTHR] and Healthpeak Properties, Inc. (f/k/a Physicians Realty Trust) [NYSE: DOC]. Secretary Thompson also served as a member of the boards of directors of Tyme Technologies, Inc. [NASDAQ: TYMI] from August 2017 to February 2020, Centene Corporation [NYSE: CNC] from April 2005 to January 2022 and Scilex Holding Company [NASDAQ: SCLX] from 2022 to 2023, and has historically served on the boards of directors of other public companies.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Secretary Thompson’s experience in public service and on the boards of directors of numerous public companies, particularly his services and knowledge related to the healthcare industry as a whole, makes him well suited to serve on our Board of Directors. Secretary Thompson received both his B.S. and J.D. from the University of Wisconsin-Madison.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6063" w:type="dxa"/>
        <w:jc w:val="left"/>
        <w:tblInd w:w="0" w:type="dxa"/>
        <w:tblLayout w:type="fixed"/>
        <w:tblCellMar>
          <w:top w:w="0" w:type="dxa"/>
          <w:left w:w="0" w:type="dxa"/>
          <w:bottom w:w="0" w:type="dxa"/>
          <w:right w:w="0" w:type="dxa"/>
        </w:tblCellMar>
      </w:tblPr>
      <w:tblGrid>
        <w:gridCol w:w="68"/>
        <w:gridCol w:w="155"/>
        <w:gridCol w:w="584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jc w:val="left"/>
              <w:rPr>
                <w:position w:val="8"/>
                <w:sz w:val="19"/>
              </w:rPr>
            </w:pPr>
            <w:r>
              <w:rPr>
                <w:position w:val="8"/>
                <w:sz w:val="19"/>
              </w:rPr>
              <w:t>1</w:t>
            </w:r>
          </w:p>
          <w:p>
            <w:pPr>
              <w:pStyle w:val="TableContents"/>
              <w:bidi w:val="0"/>
              <w:spacing w:before="0" w:after="283"/>
              <w:jc w:val="left"/>
              <w:rPr>
                <w:position w:val="8"/>
                <w:sz w:val="19"/>
              </w:rPr>
            </w:pPr>
            <w:r>
              <w:rPr>
                <w:position w:val="8"/>
                <w:sz w:val="19"/>
              </w:rPr>
              <w:t> </w:t>
            </w:r>
          </w:p>
        </w:tc>
        <w:tc>
          <w:tcPr>
            <w:tcW w:w="5840" w:type="dxa"/>
            <w:tcBorders/>
            <w:vAlign w:val="center"/>
          </w:tcPr>
          <w:p>
            <w:pPr>
              <w:pStyle w:val="TableContents"/>
              <w:bidi w:val="0"/>
              <w:spacing w:before="0" w:after="283"/>
              <w:jc w:val="both"/>
              <w:rPr/>
            </w:pPr>
            <w:r>
              <w:rPr/>
              <w:t>NTD: Biographies to be confirmed per D&amp;O questionnaires.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8"/>
        <w:gridCol w:w="90"/>
        <w:gridCol w:w="8747"/>
      </w:tblGrid>
      <w:tr>
        <w:trPr/>
        <w:tc>
          <w:tcPr>
            <w:tcW w:w="1368"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 C. COLLINS</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47</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74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 has served as a director of our Company since February 2012. Mr. Collins has served as Chief Executive Officer of Fortis BioPharma LLC since June 2015. Mr. Collins served as Chief Strategy Officer of Pernix Therapeutics Holdings, Inc. [NASDAQ: PTX], or Pernix, from May 2013 until April 2014, as its President and Chief Executive Officer from March 2010 until May 2013, and as a director from March 2010 until February 2014.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Collins joined Pernix Therapeutics, Inc., a predecessor of Pernix, in 2002, where he was appointed as a director in January 2007, its President in December 2007 and its Chief Executive Officer in June 2008, serving in those three capacities until March 2010. From December 2005 to December 2007, Mr. Collins served as Vice President of Business and Product Development of Pernix Therapeutics, Inc. and as its Territory Manager from December 2003 to December 2005. Mr. Collins was employed for three years by the National Football League franchise, the New Orleans Saints, in its media relations department.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Collins’ specialty pharmaceutical company knowledge and executive experience provide the requisite qualifications, skills, perspectives, and experience that make him well qualified to serve on our Board of Directors. While on a football scholarship, Mr. Collins received a B.A. from Nicholls State University, where he later received an M.B.A.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2"/>
        <w:gridCol w:w="90"/>
        <w:gridCol w:w="8803"/>
      </w:tblGrid>
      <w:tr>
        <w:trPr/>
        <w:tc>
          <w:tcPr>
            <w:tcW w:w="1312"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GAIL K. NAUGHTON, PH.D.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2020</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70</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ind w:left="0" w:right="0" w:hanging="0"/>
              <w:jc w:val="left"/>
              <w:rPr/>
            </w:pPr>
            <w:r>
              <w:rPr/>
              <w:t> </w:t>
            </w:r>
          </w:p>
        </w:tc>
        <w:tc>
          <w:tcPr>
            <w:tcW w:w="880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Gail K. Naughton, Ph.D. has served as a director of our Company since March 2020. Dr. Naughton has served as the Chief Scientific Officer and Chief Business Development Officer of Histogen, a company she founded that is focused on the development of novel solutions based on the products of cells grown under simulated embryonic conditions, since April 2017. Dr. Naughton served as the Chairman and Chief Executive Officer of Histogen from June 2007 until April 2017. Prior to Histogen, Dr. Naughton was the Vice Chairman of Advanced Tissue Sciences, Inc., a human-based tissue engineering company, from March 2002 to October 2002, President from August 2000 to March 2002, President and Chief Operating Officer from 1995 to 2000 and Executive Vice President, Chief Operating Officer from 1991 to 1995. Dr. Naughton also served as Dean of the College of Business Administration at San Diego State University from August 2002 to June 2011. She has spent over 30 years extensively researching the tissue engineering process, holds over 105 U.S. and foreign patents, and has founded two regenerative medicine companies. Dr. Naughton has brought several tissue engineered products to market including a product for severe burns (TransCyte), a dermal replacement for diabetic ulcers (Dermagraft), an aesthetic dermal filler (Cosmederm/Cosmeplast), and SkinMedica’s TNS product for skin care. Dr. Naughton has been extensively published and a frequent speaker in the field of tissue engineering. In 2000, Dr. Naughton received the 27th Annual National Inventor of the Year award by the Intellectual Property Owners Association in honor of her pioneering work in the field of tissue engineering. Dr. Naughton previously served as a member of several public company boards of directors since 1988, including Cytori Therapeutics, Inc. [NASDAQ: CYTX] from July 2014 until January 2018 and CEL-SCI Corporation [NYSE American: CVM] from August 2022 until April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Dr. Naughton’s extensive executive experience, her in-depth knowledge of the healthcare industry and regenerative medicine technology, her experience developing FDA-approved products, and her service on other public company boards and committees, provide the requisite qualifications, skills, perspectives, and experience that make her well qualified to serve on our Board of Directors. Dr. Naughton received her B.S. in Biology from St. Francis College, her M.S. in Histology and her Ph.D. in Hematology from the New York University Medical Center and her E.M.B.A. from UCLA.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2"/>
        <w:gridCol w:w="90"/>
        <w:gridCol w:w="8743"/>
      </w:tblGrid>
      <w:tr>
        <w:trPr/>
        <w:tc>
          <w:tcPr>
            <w:tcW w:w="1372"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JUSTIN ROBERTS</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43</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74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Roberts is a Partner at Rubric, a role he has held since the formation of the company in 2016. He currently serves as a Non-Executive Director of Mereo BioPharma Group plc [NASDAQ: MREO]. Before Rubric, he spent seven years at Point72 Asset Management. Mr. Roberts has also held roles at ZS Associates, Moore Capital Management, and began his career at Lehman Brothers as an investment banker in their M&amp;A practice.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Roberts’ extensive executive experience, his finance background, and his service on other public company boards and committees, provide the requisite qualifications, skills, perspectives, and experience that make him well qualified to serve on our Board of Directors. Mr. Roberts graduated with honors from Johns Hopkins University.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current executive officers:</w:t>
      </w:r>
    </w:p>
    <w:p>
      <w:pPr>
        <w:pStyle w:val="TextBody"/>
        <w:bidi w:val="0"/>
        <w:spacing w:before="0" w:after="0"/>
        <w:ind w:left="0" w:right="0" w:hanging="0"/>
        <w:jc w:val="left"/>
        <w:rPr>
          <w:caps w:val="false"/>
          <w:smallCaps w:val="false"/>
        </w:rPr>
      </w:pPr>
      <w:r>
        <w:rPr>
          <w:caps w:val="false"/>
          <w:smallCaps w:val="false"/>
        </w:rPr>
        <w:t> </w:t>
      </w:r>
    </w:p>
    <w:tbl>
      <w:tblPr>
        <w:tblW w:w="5655" w:type="dxa"/>
        <w:jc w:val="left"/>
        <w:tblInd w:w="0" w:type="dxa"/>
        <w:tblLayout w:type="fixed"/>
        <w:tblCellMar>
          <w:top w:w="0" w:type="dxa"/>
          <w:left w:w="0" w:type="dxa"/>
          <w:bottom w:w="28" w:type="dxa"/>
          <w:right w:w="0" w:type="dxa"/>
        </w:tblCellMar>
      </w:tblPr>
      <w:tblGrid>
        <w:gridCol w:w="1505"/>
        <w:gridCol w:w="90"/>
        <w:gridCol w:w="380"/>
        <w:gridCol w:w="90"/>
        <w:gridCol w:w="3590"/>
      </w:tblGrid>
      <w:tr>
        <w:trPr/>
        <w:tc>
          <w:tcPr>
            <w:tcW w:w="15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are biographical descriptions of our current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Walker has served as Chief Executive Officer of our Company since December 2022. Previously he served as General Counsel of our Company from March 2016. Mr. Walker previously also served as Chief Development Officer from April 2018 to December 2019 and as our Corporate and Intellectual Property Counsel from June 2013 until he became our General Counsel. Mr. Walker’s experience is focused in management of legal issues and risk in the life science industries across a variety of disciplines. His legal practice prior to his time at TherapeuticsMD included long-term portfolio strategy and management, patent preparation and prosecution, contract negotiation and drafting, life-cycle management, and Hatch-Waxman matters. After law school, he took a position at Greenberg Traurig, LLP in August 2005. In March of 2009, he moved to Luce Forward Hamilton &amp; Scripps. Mr. Walker accepted an in-house position as Intellectual Property Counsel for Medicis Pharmaceutical Corp. in June 2011, which was acquired by Valeant Pharmaceutical International, Inc. in December 2012. In February 2013, Mr. Walker accepted a position at Kilpatrick Townsend &amp; Stockton, but chose to move in-house again in June 2013, when he accepted a position at our Company. Mr. Walker graduated from Arizona State University Sandra Day O’Connor College of Law with his J.D. in 2004, and an L.L.M. in Intellectual Property Law at The George Washington University Law School in 2005. He holds a Master’s Degree in Molecular Biology and a B.S. degree, both earned from Brigham Young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Ziegler has served as Principal Financial and Accounting Officer of our Company since August 2023 and has served as founder and chief executive officer of JZ Advisory Group, a consulting company largely focused on providing fractional CFO and outsourced accounting services to middle-market and entrepreneurial businesses, since January 2022. He previously served as the Chief Financial Officer of DAS Health, a private equity owned provider of IT Services to healthcare providers, from April 2021 to December 2021 and as the Chief Financial Officer of Encompass Onsite, a provider of end-to-end property solutions, from November 2018 to February 2021. Prior to joining Encompass Onsite, he held multiple roles as a CFO in the healthcare industry, including private equity backed specialty pharmacy Biomatrix and Novis Pharmaceuticals. Mr. Ziegler served as a director of Progressive Care Inc. from December 2021 until December 2024. He earned his B.S. in Finance and an M.B.A. from Florida Atlantic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9, 2017, our common stock has been listed on the Nasdaq Global Select Market of the Nasdaq Stock Market LLC, or Nasdaq, under the symbol “TXMD.” From April 23, 2013 to October 6, 2017, our common stock was listed on the NYSE American under the symbol “TXMD.” Under the rules of Nasdaq, independent directors must comprise a majority of a listed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affirmatively determined, after considering all the relevant facts and circumstances, that each of Dr. Gail Naughton, and Messrs. Tommy G. Thompson, Cooper C. Collins and Justin Roberts is an independent director, as “independence” is defined under the applicable rules and regulations of the SEC and the listing standards of Nasdaq, and does not have a relationship with us (either directly or as a partner, stockholder, or officer of an organization that has a relationship with us) that would interfere with their exercise of independent judgment in carrying out their responsibilities as directors. Accordingly, a majority of our directors are independent, as required under the applicable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is related by blood, marriage, or adoption to any director, executive officer or person chosen to become a director or executive officer. No arrangements or understandings exist between any director and any other person pursuant to which such person was selected as a director. Further, there are no legal proceedings to which any director is a party adverse to us or any of our subsidiaries or in which any such person has a material interest adverse to us or any of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 Charters, Corporate Governance, and Code of Ethics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charters for the Audit and Compensation Committees describing the authority and responsibilities delegated to each committee by our Board of Directors. Our Board of Directors has also adopted Corporate Governance Guidelines, a Code of Conduct and Ethics, and a Code of Ethics for the Chief Executive Officer and senior financial officers of our Company. We post on our website, at </w:t>
      </w:r>
      <w:r>
        <w:rPr>
          <w:rFonts w:ascii="Times New Roman;Times;Serif" w:hAnsi="Times New Roman;Times;Serif"/>
          <w:b w:val="false"/>
          <w:i/>
          <w:caps w:val="false"/>
          <w:smallCaps w:val="false"/>
          <w:sz w:val="20"/>
        </w:rPr>
        <w:t>www.therapeuticsmd.com</w:t>
      </w:r>
      <w:r>
        <w:rPr>
          <w:rFonts w:ascii="Times New Roman;Times;Serif" w:hAnsi="Times New Roman;Times;Serif"/>
          <w:b w:val="false"/>
          <w:i w:val="false"/>
          <w:caps w:val="false"/>
          <w:smallCaps w:val="false"/>
          <w:sz w:val="20"/>
        </w:rPr>
        <w:t>: the charters of our Audit and Compensation Committees; our Corporate Governance Guidelines, Code of Conduct and Ethics, and Code of Ethics for the Chief Executive Officer and senior financial officers, and any amendments or waivers thereto; and any other corporate governance materials contemplated by the SEC or Nasdaq. These documents are also available in print to any stockholder requesting a copy in writing from our corporate secretary at our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Sessions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schedule executive sessions in which non-employee directors will meet without the presence or participation of management, with at least one of such sessions including only independent directors. Mr. Thompson, as the Chairman of our Board of Directors, chairs the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an Audit Committee and a Compensation Committee, each consisting entirely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small size of our Board of Directors and the desire to involve the entire Board of Directors in nominating decisions, we have elected to no longer have a separate Nominating Committee. Since we do not have a Nominating Committee, our independent directors, who currently constitute all of the Board of Directors, determine the director nominees. Our Board of Directors may employ a variety of methods for identifying and evaluating director nominees. If vacancies are anticipated or arise, our Board of Directors considers various potential candidates who may come to their attention through current Board members, professional search firms, stockholders or other persons. These candidates may be evaluated by our Board of Directors at any time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director candidate, our Board of Directors will review their qualifications including capability, availability to serve, conflicts of interest, general understanding of business, understanding of our business and technology, educational and professional background, personal accomplishments and other relevant factors. Our Board of Directors has not established any specific qualification standards for director nominees, and we do not have a formal diversity policy relating to the identification and evaluation of nominees for director, although from time to time the Board of Directors may identify certain skills or attributes as being particularly desirable to help meet specific needs that have arisen. Our Board of Directors may also interview prospective nominees in person or by telephone. After completing this evaluation, the Board of Directors will determine the nominees. The Board has not adopted a formal process for considering director candidates who may be recommended by stockholders. However, our policy is to give due consideration to any and all such candidates.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5"/>
        <w:gridCol w:w="90"/>
        <w:gridCol w:w="9080"/>
      </w:tblGrid>
      <w:tr>
        <w:trPr/>
        <w:tc>
          <w:tcPr>
            <w:tcW w:w="102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 Committee Members</w:t>
            </w:r>
          </w:p>
        </w:tc>
      </w:tr>
      <w:tr>
        <w:trPr/>
        <w:tc>
          <w:tcPr>
            <w:tcW w:w="10205" w:type="dxa"/>
            <w:gridSpan w:val="3"/>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Cooper C. Collins, </w:t>
            </w:r>
            <w:r>
              <w:rPr>
                <w:rFonts w:ascii="Times New Roman;Times;Serif" w:hAnsi="Times New Roman;Times;Serif"/>
                <w:b w:val="false"/>
                <w:i/>
                <w:caps w:val="false"/>
                <w:smallCaps w:val="false"/>
                <w:sz w:val="20"/>
              </w:rPr>
              <w:t>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Roberts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Tommy G. Thompson</w:t>
            </w:r>
          </w:p>
        </w:tc>
        <w:tc>
          <w:tcPr>
            <w:tcW w:w="9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Audit Committee is to oversee our financial and reporting processes and the audits of our financial statements and to provide assistance to our Board of Directors with respect to its oversight of the integrity of our financial statements, our Company’s compliance with legal and regulatory matters, the independent registered public accountant’s qualifications and independence, and the performance of our independent registered public accountant. The primary responsibilities of the Audit Committee are set forth in its charter and include various matters with respect to the oversight of our accounting and financial reporting process and audits of our financial statements on behalf of our Board of Directors. The Audit Committee also selects the independent registered public accountant to conduct the annual audit of our financial statements; reviews the proposed scope of such audit; reviews accounting and financial controls with the independent registered public accountant and our financial accounting staff; and reviews and approves any transactions between us and our directors, officers, and their affiliates.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Messrs. Collins, Thompson and Roberts, each an independent director of our Company under the listing standards of Nasdaq as well as under applicable rules and regulations of the SEC, with Mr. Collins serving as Chair. Our Board of Directors has determined that Mr. Thompson (whose background is detailed above) qualifies as an “audit committee financial expert” in accordance with applicable rules and regulations of the SEC.</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Compensation Committee Members</w:t>
            </w:r>
          </w:p>
        </w:tc>
      </w:tr>
      <w:tr>
        <w:trPr/>
        <w:tc>
          <w:tcPr>
            <w:tcW w:w="10205" w:type="dxa"/>
            <w:gridSpan w:val="3"/>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Gail Naughton, </w:t>
            </w:r>
            <w:r>
              <w:rPr>
                <w:rFonts w:ascii="Times New Roman;Times;Serif" w:hAnsi="Times New Roman;Times;Serif"/>
                <w:b w:val="false"/>
                <w:i/>
                <w:caps w:val="false"/>
                <w:smallCaps w:val="false"/>
                <w:sz w:val="20"/>
              </w:rPr>
              <w:t>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Roberts</w:t>
            </w:r>
          </w:p>
        </w:tc>
        <w:tc>
          <w:tcPr>
            <w:tcW w:w="9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purpose of the Compensation Committee includes, among other things, determining, or recommending to our Board of Directors for determination, the compensation of our Chief Executive Officer and other executive officers and directors, and discharging the responsibilities of our Board of Directors relating to our compensation programs. Pursuant to its charter, the Compensation Committee may delegate any of its responsibilities to a subcommittee comprised of one or more members of the Compensation Committee. The Compensation Committee currently consists of Dr. Naughton and Messrs. Collins and Roberts, each an independent director of our company under the listing standards of Nasdaq as well as under applicable rules and regulations of the SEC, with Dr. Naughton serving as Chair.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Board’s Role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is inherent in every business. As is the case in virtually all businesses, we face a number of risks, including operational, economic, financial, legal, regulatory, and competitive risks. Our management is responsible for the day-to-day management of the risks we face. Our Board of Directors, as a whole and through its committees, has responsibility for the oversight of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involvement in our business strategy and strategic plans plays a key role in its oversight of risk management, its assessment of management’s risk appetite, and its determination of the appropriate level of enterprise risk. Our Board of Directors receives updates at least quarterly from senior management and periodically from outside advisors regarding the various risks we face, including operational, cybersecurity and information technology, economic, financial, legal, regulatory, and competitive risks. Our Board of Directors also reviews the various risks we identify in our filings with the SEC as well as risks relating to various specific developments, such as debt and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of our Board of Directors assist our Board of Directors in fulfilling its oversight role in certain areas of risks. The Audit Committee oversees the financial and reporting processes of our Company and the audit of the financial statements of our Company and provides assistance to our Board of Directors with respect to the oversight and integrity of the financial statements of our Company, our Company’s compliance with legal and regulatory matters, the independent auditor’s qualification and independence, and the performance of our independent auditor. The Audit Committee also receives reports regarding our compliance program and our cybersecurity and information technology programs. The Compensation Committee considers the risks that our compensation policies and practices may have in attracting, retaining, and motivating valued employees and endeavors to assure that it is not reasonably likely that our compensation plans and policies would create undue risk or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a broad range of experiences, viewpoints, educational backgrounds, skills, and other individual qualities and attributes to be represented on our Board of Directors. We believe directors should have various qualifications, including individual character and integrity; business experience and leadership ability; strategic planning skills, ability, and experience; requisite knowledge of our industry and finance, accounting, and legal matters; communications and interpersonal skills; and the ability and willingness to devote time to our Company. We also believe the skill sets, backgrounds, and qualifications of our directors, taken as a whole, should provide a significant mix of diversity in personal and professional experience, background, viewpoints, perspectives, knowledge, and abilities. Nominees are not to be discriminated against on the basis of race, religion, national origin, sex, sexual orientation, disability, or any other basis prohibited by law. The assessment of directors is made in the context of the perceived needs of our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have held high-level positions in business or professional service firms and have experience in dealing with complex issues. We believe that all of our directors are individuals of high character and integrity, are able to work well with others, and have committed to devote sufficient time to the business and affairs of our Company. In addition to these attributes, the description of each director’s background set forth above indicates the specific experience, qualifications, and skills necessary to conclude that each individual should continue to serve as a director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Leadership 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effective board leadership structure depends on the experience, skills, and personal interaction among persons in leadership roles as well as the needs of our Company at any point in time. We currently maintain separate roles between the Chief Executive Officer and the Chairman of the Board of Directors in recognition of the differences between the two responsibilities. Our Chief Executive Officer is responsible for setting our strategic direction and day -to-day leadership and performance of our Company. The Chairman of the Board of Directors provides input to the Chief Executive Officer, sets the agenda for board meetings, and presides over meetings of the full Board of Directors as well as executive sessions of our Board of Directors. Our Board of Directors believes that our current leadership structure provides the most effective leadership model for our Company, as it promotes balance between the Board of Directors’ independent authority to oversee our business and the Chief Executive Officer and his management team, which manage the business on a day-to-day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fiscal year ended December 31, 2025, Dr. Naughton and Messrs. Collins and Roberts served as members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Dr. Naughton and Messrs. Collins and Roberts have been at any time one of our officers or employees or had any relationship with us that requires disclosure under Item 404 of Regulation S-K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none of our executive officers served on the compensation committee or board of directors of any entity whose executive officers serve as a member of our Board of Directors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Recovery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adopted a policy on recoupment of incentive compensation, or clawback policy, which provides for recoupment of compensation in certain circumstances in the event of a restatement of our financial results, in accordance with the requirements of SEC rules and Nasdaq listing standards implementing the requirement of Section 954 of the Dodd-Frank Wall Street Reform and Consumer Protection Act of 2010. A copy of our policy on recoupment of incentive compensation is incorporated by reference as Exhibit 97 to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Anti-Hedging and Anti-Pledging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Board of Directors amended the Company’s Code of Conduct and Ethics to include a policy regarding hedging and pledging transactions. Pursuant to the policy, directors, officers, and employees are prohibited from: (1) directly or indirectly engaging in any hedging transactions with respect to any directly or indirectly owned securities of the Company, which includes the purchase of any financial instrument (including puts, calls, equity swaps, forward contracts, collars, exchange funds or other derivative securities) on an exchange or in any other market in order to hedge or offset any decrease in the market value of such securities; (2) engaging in short sale transactions or forward sale transactions or any short-term or speculative transactions in the Company’s securities or in other transactions in the Company’s securities that may lead to inadvertent violations of insider trading laws; and (3) pledging securities of the Company as collateral for a loan or otherwise using securities of the Company to secure a debt, including through the use of traditional margin accounts with a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2025, our Board of Directors adopted an insider trading policy that governs transactions in our securities by our directors, officers, employees and their respective family members and affiliates that we believe is reasonably designed to promote compliance with insider trading laws, rules and regulations, and applicable Nasdaq listing standards. In addition, it is our policy to comply with federal securities laws and applicable stock exchange listing standards regarding trading in our own securities. A copy of our insider trading policy is incorporated by reference as Exhibit 19 to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and Committee 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held a total of eight meetings during the fiscal year ended December 31, 2025. No director attended fewer than 75% of the aggregate of (i) the total number of meetings of our Board of Directors and (ii) the total number of meetings held by all committees of our Board of Directors on which such director was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Audit Committee held three meetings and the Compensation Committee held one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Meeting Attendance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directors to attend each annual meeting of stockholders. Two of our directors virtually attended the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communicate with our Board of Directors or specific members of our Board of Directors, including our independent directors and the members of our various board committees, by submitting a letter addressed to our Board of Directors of TherapeuticsMD, Inc. at the address set forth in this proxy statement c/o any specified individual director or directors. Any such letters are forwarded to the indicated directors. In addition, at the request of the Board of Directors, communications that do not directly relate to our Board of Directors’ duties and responsibilities as directors will be excluded from distribution. Such excluded items include, among others, “spam,” advertisements, mass mailings, form letters, and email campaigns that involve unduly large numbers of similar communications; solicitations for goods, services, employment or contributions; and surveys. Additionally, communications that appear to be unduly hostile, intimidating, threatening, illegal or similarly inappropriate will also be screened for omission. Any excluded communication will be made available to any director upon his or her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appointed a Compensation Committee, consisting of independent members of our Board of Directors, to review and approve corporate goals and objectives relevant to the compensation of our Chief Executive Officer, or CEO, evaluate the performance of our CEO on achieving those goals and objectives, and determine or recommend to our Board of Directors the compensation of our CEO based on this evaluation. The Compensation Committee also recommends to our Board of Directors, or as directed by our Board of Directors, determines and approves, the compensation of our other executive officers. The Compensation Committee makes every effort to ensure our executive compensation program is consistent with our values and is aligned with our business strategy and corporate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rules of the U.S. Securities and Exchange Commission permit us to omit the Compensation Discussion and Analysis section and to report the compensation of our principal executive officer, each of our two other most highly compensated executive officers who were serving at the end of our last completed fiscal year, and up to two additional former executive officers for whom disclosure would have been provided but for the fact that the individual was not serving as an executive officer at the end of our last completed fiscal year (collectively,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our NEOs were:</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05"/>
        <w:gridCol w:w="200"/>
        <w:gridCol w:w="1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Marlan Walker, CEO</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05"/>
        <w:gridCol w:w="200"/>
        <w:gridCol w:w="4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Joseph Ziegler,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employed one full-time employee primarily engaged in an executive position — Mr. Marlan Walker, our Chief Executive Officer. Mr. Ziegler serves as our Principal Financial and Accounting Officer pursuant to a master services agreement (the “Master Services Agreement”) with JZ Advisory Group (“JZ Advisory”). See “Ziegler Master Services Agreement”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compensation of our NEOs for the years provided. The following information includes the dollar value of salaries, bonus awards, the number of awards granted, non-equity incentive plan compensation, and certain other compensation, if 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89"/>
        <w:gridCol w:w="90"/>
        <w:gridCol w:w="470"/>
        <w:gridCol w:w="90"/>
        <w:gridCol w:w="90"/>
        <w:gridCol w:w="90"/>
        <w:gridCol w:w="725"/>
        <w:gridCol w:w="203"/>
        <w:gridCol w:w="90"/>
        <w:gridCol w:w="90"/>
        <w:gridCol w:w="726"/>
        <w:gridCol w:w="203"/>
        <w:gridCol w:w="90"/>
        <w:gridCol w:w="326"/>
        <w:gridCol w:w="401"/>
        <w:gridCol w:w="90"/>
        <w:gridCol w:w="90"/>
        <w:gridCol w:w="98"/>
        <w:gridCol w:w="677"/>
        <w:gridCol w:w="90"/>
        <w:gridCol w:w="90"/>
        <w:gridCol w:w="643"/>
        <w:gridCol w:w="787"/>
        <w:gridCol w:w="90"/>
        <w:gridCol w:w="90"/>
        <w:gridCol w:w="169"/>
        <w:gridCol w:w="1167"/>
        <w:gridCol w:w="203"/>
        <w:gridCol w:w="90"/>
        <w:gridCol w:w="90"/>
        <w:gridCol w:w="725"/>
        <w:gridCol w:w="143"/>
      </w:tblGrid>
      <w:tr>
        <w:trPr/>
        <w:tc>
          <w:tcPr>
            <w:tcW w:w="118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4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w:t>
            </w:r>
            <w:r>
              <w:rPr>
                <w:rFonts w:ascii="Times New Roman;Times;Serif" w:hAnsi="Times New Roman;Times;Serif"/>
                <w:b/>
                <w:position w:val="7"/>
                <w:sz w:val="16"/>
                <w:sz w:val="20"/>
              </w:rPr>
              <w:t>(1)</w:t>
            </w:r>
            <w:r>
              <w:rPr>
                <w:rFonts w:ascii="Times New Roman;Times;Serif" w:hAnsi="Times New Roman;Times;Serif"/>
                <w:b/>
                <w:sz w:val="20"/>
              </w:rPr>
              <w:t xml:space="preserve">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 Incentive Plan Compensation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143" w:type="dxa"/>
            <w:tcBorders/>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Marlan D. Walker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561,137</w:t>
            </w:r>
          </w:p>
        </w:tc>
        <w:tc>
          <w:tcPr>
            <w:tcW w:w="14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9,174</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759,174</w:t>
            </w:r>
          </w:p>
        </w:tc>
        <w:tc>
          <w:tcPr>
            <w:tcW w:w="14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8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pPr>
            <w:r>
              <w:rPr/>
              <w:t>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283"/>
              <w:jc w:val="right"/>
              <w:rPr/>
            </w:pPr>
            <w:r>
              <w:rPr/>
              <w:t>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6" w:type="dxa"/>
            <w:tcBorders/>
            <w:tcMar>
              <w:bottom w:w="0" w:type="dxa"/>
            </w:tcMar>
            <w:vAlign w:val="center"/>
          </w:tcPr>
          <w:p>
            <w:pPr>
              <w:pStyle w:val="TableContents"/>
              <w:bidi w:val="0"/>
              <w:spacing w:before="0" w:after="283"/>
              <w:jc w:val="left"/>
              <w:rPr/>
            </w:pPr>
            <w:r>
              <w:rPr/>
              <w:t> </w:t>
            </w:r>
          </w:p>
        </w:tc>
        <w:tc>
          <w:tcPr>
            <w:tcW w:w="40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7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left"/>
              <w:rPr/>
            </w:pPr>
            <w:r>
              <w:rPr/>
              <w:t> </w:t>
            </w:r>
          </w:p>
        </w:tc>
        <w:tc>
          <w:tcPr>
            <w:tcW w:w="78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1167" w:type="dxa"/>
            <w:tcBorders/>
            <w:tcMar>
              <w:bottom w:w="0" w:type="dxa"/>
            </w:tcMar>
            <w:vAlign w:val="center"/>
          </w:tcPr>
          <w:p>
            <w:pPr>
              <w:pStyle w:val="TableContents"/>
              <w:bidi w:val="0"/>
              <w:spacing w:before="0" w:after="283"/>
              <w:jc w:val="right"/>
              <w:rPr/>
            </w:pPr>
            <w:r>
              <w:rPr/>
              <w:t>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pPr>
            <w:r>
              <w:rPr/>
              <w:t> </w:t>
            </w:r>
          </w:p>
        </w:tc>
        <w:tc>
          <w:tcPr>
            <w:tcW w:w="143" w:type="dxa"/>
            <w:tcBorders/>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Joseph Ziegler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14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14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68"/>
        <w:gridCol w:w="275"/>
        <w:gridCol w:w="452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grant date fair value of options granted.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compensation paid in the fiscal year 2024 and fiscal year 2025 was related to (i) employer match to 401(k) plan of $2,000, and (ii) health and welfare benefits paid by the Company.</w:t>
            </w:r>
          </w:p>
        </w:tc>
      </w:tr>
    </w:tbl>
    <w:p>
      <w:pPr>
        <w:pStyle w:val="TextBody"/>
        <w:bidi w:val="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68"/>
        <w:gridCol w:w="275"/>
        <w:gridCol w:w="879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amounts represent the fixed fee paid to JZ Advisory in accordance with the Master Services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amounts earned under our annual performance-targeted incentive plan, which were earned during the indicated fiscal year but portions of which may not been paid until after the end of indicated fiscal year.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with respect to outstanding equity-based awards held by our NEOs at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3"/>
        <w:gridCol w:w="90"/>
        <w:gridCol w:w="1668"/>
        <w:gridCol w:w="90"/>
        <w:gridCol w:w="252"/>
        <w:gridCol w:w="1685"/>
        <w:gridCol w:w="204"/>
        <w:gridCol w:w="204"/>
        <w:gridCol w:w="608"/>
        <w:gridCol w:w="867"/>
        <w:gridCol w:w="90"/>
        <w:gridCol w:w="90"/>
        <w:gridCol w:w="101"/>
        <w:gridCol w:w="804"/>
        <w:gridCol w:w="90"/>
        <w:gridCol w:w="90"/>
        <w:gridCol w:w="179"/>
        <w:gridCol w:w="1340"/>
        <w:gridCol w:w="140"/>
      </w:tblGrid>
      <w:tr>
        <w:trPr/>
        <w:tc>
          <w:tcPr>
            <w:tcW w:w="16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6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140" w:type="dxa"/>
            <w:tcBorders/>
            <w:vAlign w:val="center"/>
          </w:tcPr>
          <w:p>
            <w:pPr>
              <w:pStyle w:val="TableContents"/>
              <w:bidi w:val="0"/>
              <w:spacing w:before="0" w:after="283"/>
              <w:jc w:val="left"/>
              <w:rPr/>
            </w:pPr>
            <w:r>
              <w:rPr/>
              <w:t> </w:t>
            </w:r>
          </w:p>
        </w:tc>
      </w:tr>
      <w:tr>
        <w:trPr/>
        <w:tc>
          <w:tcPr>
            <w:tcW w:w="16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8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Option</w:t>
              <w:b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center"/>
              <w:rPr>
                <w:b/>
              </w:rPr>
            </w:pPr>
            <w:r>
              <w:rPr>
                <w:b/>
              </w:rPr>
              <w:t>Option</w:t>
            </w:r>
          </w:p>
        </w:tc>
        <w:tc>
          <w:tcPr>
            <w:tcW w:w="140" w:type="dxa"/>
            <w:tcBorders/>
            <w:vAlign w:val="center"/>
          </w:tcPr>
          <w:p>
            <w:pPr>
              <w:pStyle w:val="TableContents"/>
              <w:bidi w:val="0"/>
              <w:spacing w:before="0" w:after="283"/>
              <w:jc w:val="left"/>
              <w:rPr/>
            </w:pPr>
            <w:r>
              <w:rPr/>
              <w:t> </w:t>
            </w:r>
          </w:p>
        </w:tc>
      </w:tr>
      <w:tr>
        <w:trPr/>
        <w:tc>
          <w:tcPr>
            <w:tcW w:w="1613"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668" w:type="dxa"/>
            <w:tcBorders>
              <w:bottom w:val="single" w:sz="12" w:space="0" w:color="000000"/>
            </w:tcBorders>
            <w:tcMar>
              <w:bottom w:w="28" w:type="dxa"/>
            </w:tcMar>
            <w:vAlign w:val="center"/>
          </w:tcPr>
          <w:p>
            <w:pPr>
              <w:pStyle w:val="TableContents"/>
              <w:bidi w:val="0"/>
              <w:spacing w:before="0" w:after="283"/>
              <w:jc w:val="center"/>
              <w:rPr>
                <w:b/>
              </w:rPr>
            </w:pPr>
            <w:r>
              <w:rPr>
                <w:b/>
              </w:rPr>
              <w:t>Equity Award Date</w:t>
            </w:r>
          </w:p>
        </w:tc>
        <w:tc>
          <w:tcPr>
            <w:tcW w:w="90" w:type="dxa"/>
            <w:tcBorders/>
            <w:vAlign w:val="center"/>
          </w:tcPr>
          <w:p>
            <w:pPr>
              <w:pStyle w:val="TableContents"/>
              <w:bidi w:val="0"/>
              <w:spacing w:before="0" w:after="283"/>
              <w:jc w:val="left"/>
              <w:rPr/>
            </w:pPr>
            <w:r>
              <w:rPr/>
              <w:t> </w:t>
            </w:r>
          </w:p>
        </w:tc>
        <w:tc>
          <w:tcPr>
            <w:tcW w:w="1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br/>
              <w:t>(#)</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Unexercisable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Expiration Date</w:t>
            </w:r>
          </w:p>
        </w:tc>
        <w:tc>
          <w:tcPr>
            <w:tcW w:w="140" w:type="dxa"/>
            <w:tcBorders/>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283"/>
              <w:jc w:val="left"/>
              <w:rPr>
                <w:b/>
              </w:rPr>
            </w:pPr>
            <w:r>
              <w:rPr>
                <w:b/>
              </w:rPr>
              <w:t>Marlan D. Walker</w:t>
            </w:r>
          </w:p>
        </w:tc>
        <w:tc>
          <w:tcPr>
            <w:tcW w:w="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center"/>
              <w:rPr/>
            </w:pPr>
            <w:r>
              <w:rPr/>
              <w:t>07/30/2019</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4,000</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109.00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07/30/2029</w:t>
            </w:r>
          </w:p>
        </w:tc>
        <w:tc>
          <w:tcPr>
            <w:tcW w:w="140" w:type="dxa"/>
            <w:tcBorders/>
            <w:shd w:fill="CCEEFF" w:val="clear"/>
            <w:vAlign w:val="center"/>
          </w:tcPr>
          <w:p>
            <w:pPr>
              <w:pStyle w:val="TableContents"/>
              <w:bidi w:val="0"/>
              <w:spacing w:before="0" w:after="283"/>
              <w:jc w:val="left"/>
              <w:rPr/>
            </w:pPr>
            <w:r>
              <w:rPr/>
              <w:t> </w:t>
            </w:r>
          </w:p>
        </w:tc>
      </w:tr>
      <w:tr>
        <w:trPr/>
        <w:tc>
          <w:tcPr>
            <w:tcW w:w="16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center"/>
              <w:rPr/>
            </w:pPr>
            <w:r>
              <w:rPr/>
              <w:t>11/3/2025</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67,492</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11/3/2035</w:t>
            </w:r>
          </w:p>
        </w:tc>
        <w:tc>
          <w:tcPr>
            <w:tcW w:w="140" w:type="dxa"/>
            <w:tcBorders/>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283"/>
              <w:jc w:val="left"/>
              <w:rPr>
                <w:b/>
              </w:rPr>
            </w:pPr>
            <w:r>
              <w:rPr>
                <w:b/>
              </w:rPr>
              <w:t>Joseph Ziegler</w:t>
            </w:r>
          </w:p>
        </w:tc>
        <w:tc>
          <w:tcPr>
            <w:tcW w:w="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Post-Employment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Pension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offer any defined benefit pension plans for any of our employees. We have a 401(k) plan in which employees may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Walker is eligible to participate in our employee benefit plans, including medical and dental plans. Should we decide to hire other employees, these plans do not discriminate in favor of executive officers and would be available to any potential employee. It is generally our policy to not extend significant perquisites to executives that are not broadly available to our other employees. In designing these elements, we seek to provide an overall level of benefits that is competitive with that offered by similarly situated companies in the markets in which we operate based upon our general understanding of industry practice. These benefits are not considered in determining the compensation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 has an amended and restated employment agreement, as amended (the “Walker Employment Agreement”), with the Company that commenced on December 18, 2018, and was amended effective October 15, 2021, December 30, 2022, February 21, 2023 and December 17, 2024. The Walker Employment Agreement provides that we will continue to employ Mr. Walker, and Mr. Walker will continue to serve the Company, unless sooner terminated pursuant to the terms of the Walker Employment Agreement. The Walker Employment Agreement provides for: (i) a base salary of $428,000 per year until April 15, 2023; thereafter, a base salary of $500,000 per year and a lump-sum bonus payment of $20,909, which was paid in April 2023 (ii) an annual short-term incentive compensation of 50% of salary, at the discretion of our Board of Directors, and (iii) 70,000 RSUs vesting on June 30, 2023. Mr. Walker will receive employee benefits, vacation, and other perquisites as may be determined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termination call for (i) termination immediately upon death, (ii) termination upon a disability in which Mr. Walker is unable to perform his duties for more than six (6) consecutive months, (iii) voluntary termination without good reason by Mr. Walker with prior notice, (iv) involuntary termination by our Company without good cause, (v) termination for good cause, and (vi) termination for good reason wherein Mr. Walker will have ninety (90) days from the date of occurrence of a condition giving rise to good reason to provide a notice of termination of his employment with the Company, which will be effective thirty-one (31) days after we receive notice and the criteria remains uncorrected.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Ziegler Master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Master Services Agreement with JZ Advisory that commenced on August 15, 2023, pursuant to which, among other things, JZ Advisory will serve as an independent consultant for the purpose of providing the Company with certain support services, including the services of Mr. Ziegler as the Company’s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pay JZ Advisory $10,000 a month for the services provided under the Master Services Agreement, which monthly rate will continue until the parties negotiate a future retainer amount. Mr. Ziegler was also granted 7,500 restricted stock units, which vested on August 17, 2024. The Master Services Agreement will continue through the third anniversary of the Effective Date, unless earlier terminated (the “Term”). The Term will automatically be extended for successive one-year periods unless either party provides written notice of non-extension no less than thirty (30) days in advance. The Master Services Agreement may be terminated pursuant to its terms. The Master Services Agreement contains certain covenants and agreements of the parties, including certain indemnification obligations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Potential Payments Upon Termination or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employment agreements with certain of our executive officers as described above. The arrangements reflected in these employment agreements are designed to encourage the officers’ full attention and dedication to our Company currently and, in the event of any proposed change in control, provide these officers with individual financial security. The employment agreements provide for specified payments and benefits by us to our executive officers only upon a qualifying termination of employment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Us Without Good Cause or by Executive with Good Reason - No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Walker Employment Agreement, for Mr. Walker, in the event of termination of the executive’s employment without “cause” (referred to as “good cause” in the Walker Employment Agreement) or resignation by the executive for “good reason” (as each term is defined in the Walker Employment Agreement), he would be entitled to, subject to his signing and not revoking a full and complete release of all claims against the Company and its affiliates, (i) the sum of his salary, payable on a biweekly basis ratably over eighteen (18) months, and one and one half times (1.5x) his target annual incentive compensation for the fiscal year in which such termination of employment occurs, (ii) a continuation of welfare benefits for a period of two years after such termination, (iii) COBRA benefits for a period of twenty-four (24) months following such termination, (iv) payment for any annual short-term incentive compensation earned for the calendar year immediately preceding the calendar year of such termination, (v) unpaid accrued base salary and unused vacation pay through the termination date, and (vi) amounts accrued but unpaid at the time of termination. Furthermore, the above obligations of the Company are subject to the executive complying with a non-solicitation agreement of employees and customers, and a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or Resignation in Connection with a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Mr. Walker’s employment without “good cause” or resignation by the executive for “good reason” in the twelve months following a change in control, Mr. Walker would be entitled to, subject to his signing and not revoking a full and complete release of all claims against the Company and its affiliates, (i) the sum of his salary, payable on a biweekly basis ratably over eighteen (18) months, and one and one half times (1.5x) his target annual incentive compensation for the fiscal year in which such termination of employment occurs, (ii) payment for any annual short-term incentive compensation earned for the calendar year immediately preceding the calendar year of such termination, (iii) unpaid accrued base salary and unused vacation pay through the termination date, and (iv) amounts accrued but unpaid at the time of termination. Furthermore, the above obligations of the Company are subject to the executive complying with a non-solicitation agreement of employees and customers, and a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Reason of Death or Disability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Walker, in the event of termination of the executive’s employment by reason of his death or “disability” (as such term is defined in the Walker Employment Agreement), in addition to those payments and benefits provided to salaried employees generally, including amounts accrued but unpaid at the time of termination, he would be entitled to (i) pro-rated target annual incentive compensation for the fiscal year in which such termination of employment occurs, payable in a lump sum, subject to the executive’s signing and not revoking a full and complete release of all claims against the Company and its affiliates in the event of a disability, (ii) immediate vesting of all outstanding equity awards that vest solely on the passage of time, accrued but unused vacation pay through the termination date, payable in a lump sum, and (iv) all other rights and benefits the executive is vested in, pursuant to other plans and programs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the Executive Without Good Reason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amount of compensation to Marlan Walker, the only NEO currently employed by the Company, assuming termination of such executive’s employment without cause or for good reason or following a change in control of our company on December 31, 2025. Other than as set forth below, no amounts will be paid to our NEOs in the event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Marlan Walker </w:t>
      </w:r>
    </w:p>
    <w:p>
      <w:pPr>
        <w:pStyle w:val="TextBody"/>
        <w:bidi w:val="0"/>
        <w:spacing w:before="0" w:after="0"/>
        <w:ind w:left="0" w:right="0" w:hanging="0"/>
        <w:jc w:val="left"/>
        <w:rPr>
          <w:caps w:val="false"/>
          <w:smallCaps w:val="false"/>
        </w:rPr>
      </w:pPr>
      <w:r>
        <w:rPr>
          <w:caps w:val="false"/>
          <w:smallCaps w:val="false"/>
        </w:rPr>
        <w:t> </w:t>
      </w:r>
    </w:p>
    <w:tbl>
      <w:tblPr>
        <w:tblW w:w="9692" w:type="dxa"/>
        <w:jc w:val="left"/>
        <w:tblInd w:w="0" w:type="dxa"/>
        <w:tblLayout w:type="fixed"/>
        <w:tblCellMar>
          <w:top w:w="0" w:type="dxa"/>
          <w:left w:w="0" w:type="dxa"/>
          <w:bottom w:w="28" w:type="dxa"/>
          <w:right w:w="0" w:type="dxa"/>
        </w:tblCellMar>
      </w:tblPr>
      <w:tblGrid>
        <w:gridCol w:w="3425"/>
        <w:gridCol w:w="90"/>
        <w:gridCol w:w="149"/>
        <w:gridCol w:w="1385"/>
        <w:gridCol w:w="275"/>
        <w:gridCol w:w="90"/>
        <w:gridCol w:w="190"/>
        <w:gridCol w:w="1764"/>
        <w:gridCol w:w="275"/>
        <w:gridCol w:w="90"/>
        <w:gridCol w:w="159"/>
        <w:gridCol w:w="1480"/>
        <w:gridCol w:w="320"/>
      </w:tblGrid>
      <w:tr>
        <w:trPr/>
        <w:tc>
          <w:tcPr>
            <w:tcW w:w="3425" w:type="dxa"/>
            <w:tcBorders>
              <w:bottom w:val="single" w:sz="12" w:space="0" w:color="000000"/>
            </w:tcBorders>
            <w:vAlign w:val="center"/>
          </w:tcPr>
          <w:p>
            <w:pPr>
              <w:pStyle w:val="TableContents"/>
              <w:bidi w:val="0"/>
              <w:spacing w:before="0" w:after="283"/>
              <w:jc w:val="left"/>
              <w:rPr>
                <w:b/>
              </w:rPr>
            </w:pPr>
            <w:r>
              <w:rPr>
                <w:b/>
              </w:rPr>
              <w:t>Executive Benefits and Payments</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Termination</w:t>
              <w:br/>
              <w:t>Without</w:t>
              <w:br/>
              <w:t>Good Cause</w:t>
              <w:br/>
              <w:t>or with Good</w:t>
              <w:br/>
              <w:t>Reason</w:t>
              <w:br/>
              <w:t xml:space="preserve">(Not in </w:t>
              <w:br/>
              <w:t>Connection</w:t>
              <w:br/>
              <w:t>with a Change</w:t>
              <w:br/>
              <w:t>in Control)</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12" w:space="0" w:color="000000"/>
            </w:tcBorders>
            <w:vAlign w:val="center"/>
          </w:tcPr>
          <w:p>
            <w:pPr>
              <w:pStyle w:val="TableContents"/>
              <w:bidi w:val="0"/>
              <w:spacing w:before="0" w:after="283"/>
              <w:jc w:val="center"/>
              <w:rPr>
                <w:b/>
              </w:rPr>
            </w:pPr>
            <w:r>
              <w:rPr>
                <w:b/>
              </w:rPr>
              <w:t>Termination</w:t>
              <w:br/>
              <w:t>Without</w:t>
              <w:br/>
              <w:t>Good Cause</w:t>
              <w:br/>
              <w:t xml:space="preserve">or with </w:t>
              <w:br/>
              <w:t>Good Reason</w:t>
              <w:br/>
              <w:t>Following a</w:t>
              <w:br/>
              <w:t>Change in Control</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12" w:space="0" w:color="000000"/>
            </w:tcBorders>
            <w:vAlign w:val="center"/>
          </w:tcPr>
          <w:p>
            <w:pPr>
              <w:pStyle w:val="TableContents"/>
              <w:bidi w:val="0"/>
              <w:spacing w:before="0" w:after="283"/>
              <w:jc w:val="center"/>
              <w:rPr>
                <w:b/>
              </w:rPr>
            </w:pPr>
            <w:r>
              <w:rPr>
                <w:b/>
              </w:rPr>
              <w:t>Termination by</w:t>
              <w:br/>
              <w:t>Reason of</w:t>
              <w:br/>
              <w:t>Death or</w:t>
              <w:br/>
              <w:t xml:space="preserve">Disability </w:t>
              <w:br/>
              <w:t>($)</w:t>
            </w:r>
          </w:p>
        </w:tc>
        <w:tc>
          <w:tcPr>
            <w:tcW w:w="320" w:type="dxa"/>
            <w:tcBorders/>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Cash severance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pPr>
            <w:r>
              <w:rPr/>
              <w:t>807,692</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pPr>
            <w:r>
              <w:rPr/>
              <w:t>807,692</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250,000</w:t>
            </w:r>
          </w:p>
        </w:tc>
        <w:tc>
          <w:tcPr>
            <w:tcW w:w="3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payments due to executive for (i) eighteen (18) months of his then current salary, (ii) 150% target annual incentive compensation, (iii) health and welfare benefits for twenty-four (24) months, (iv) unused PTO, and (v) any annual short-term incentive compensation earned from the prior year that had not yet been paid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payments due to executive for (i) eighteen (18) months of his then current salary, (ii) 150% target annual incentive compensation, (iii) unused PTO, and (iv) any annual short-term incentive compensation earned from the prior year that had not yet been paid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68"/>
        <w:gridCol w:w="275"/>
        <w:gridCol w:w="797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full annual incentive compensation that would be prorated based on termination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Nonqualified Defined Contribution and Nonqualified Deferred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offer any nonqualified defined contribution plans or nonqualified deferred compensation plans for any of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of Directors’ Liability; Indemnification of Directors, Officers, Employees, and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and bylaws, each as amended, provide that we may indemnify to the full extent of our power to do so, all directors, officers, employees, and/or agents. The effect of this provision in the Amended and Restated Articles of Incorporation, as amended, is to eliminate the rights of our Company and our stockholders, either directly or through stockholders’ derivative suits brought on behalf of our Company, to recover monetary damages from a director for breach of the fiduciary duty of care as a director except in those instances described under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by our Company for liabilities arising under the Securities Act of 1933, as amended (the “Securities Act”), may be permitted to officers and directors of our Company pursuant to the foregoing provisions or otherwise, we are aware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our non-employee directors with a combination of cash and equity. Our Board of Directors receives the following cash compensation for their service: each director receives an annual cash retainer of $57,500; the chairperson of the Board receives an additional $22,500 annual cash retainer; the chairperson of our Audit Committee receives an annual cash retainer of $30,000 and the other members of the Audit Committee receive an annual cash retainer of $15,000; and the chairperson of the Compensation Committee receives an annual cash retainer of $20,000 and the other members of the Compensation Committee receive an annual cash retainer of $12,000. We also reimburse our directors for reasonable expenses related to attendance at Board of Directors and committee meetings. We do not pay our directors per meeting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accompanying footnotes detail compensation paid to our directors for services rendered for the year ended December 31, 2025. Mr. Roberts is entitled to receive compensation in the same manner as our other non-employee directors, but he has elected not to receive any compensation for his service as a non-employee director at this time.</w:t>
      </w:r>
    </w:p>
    <w:p>
      <w:pPr>
        <w:pStyle w:val="TextBody"/>
        <w:bidi w:val="0"/>
        <w:spacing w:before="0" w:after="0"/>
        <w:ind w:left="0" w:right="0" w:hanging="0"/>
        <w:jc w:val="left"/>
        <w:rPr>
          <w:caps w:val="false"/>
          <w:smallCaps w:val="false"/>
        </w:rPr>
      </w:pPr>
      <w:r>
        <w:rPr>
          <w:caps w:val="false"/>
          <w:smallCaps w:val="false"/>
        </w:rPr>
        <w:t> </w:t>
      </w:r>
    </w:p>
    <w:tbl>
      <w:tblPr>
        <w:tblW w:w="7791" w:type="dxa"/>
        <w:jc w:val="left"/>
        <w:tblInd w:w="0" w:type="dxa"/>
        <w:tblLayout w:type="fixed"/>
        <w:tblCellMar>
          <w:top w:w="0" w:type="dxa"/>
          <w:left w:w="0" w:type="dxa"/>
          <w:bottom w:w="28" w:type="dxa"/>
          <w:right w:w="0" w:type="dxa"/>
        </w:tblCellMar>
      </w:tblPr>
      <w:tblGrid>
        <w:gridCol w:w="2315"/>
        <w:gridCol w:w="90"/>
        <w:gridCol w:w="165"/>
        <w:gridCol w:w="1308"/>
        <w:gridCol w:w="165"/>
        <w:gridCol w:w="90"/>
        <w:gridCol w:w="105"/>
        <w:gridCol w:w="693"/>
        <w:gridCol w:w="105"/>
        <w:gridCol w:w="90"/>
        <w:gridCol w:w="448"/>
        <w:gridCol w:w="622"/>
        <w:gridCol w:w="450"/>
        <w:gridCol w:w="90"/>
        <w:gridCol w:w="90"/>
        <w:gridCol w:w="830"/>
        <w:gridCol w:w="135"/>
      </w:tblGrid>
      <w:tr>
        <w:trPr/>
        <w:tc>
          <w:tcPr>
            <w:tcW w:w="23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638" w:type="dxa"/>
            <w:gridSpan w:val="3"/>
            <w:tcBorders>
              <w:bottom w:val="single" w:sz="12" w:space="0" w:color="000000"/>
            </w:tcBorders>
            <w:vAlign w:val="center"/>
          </w:tcPr>
          <w:p>
            <w:pPr>
              <w:pStyle w:val="TableContents"/>
              <w:bidi w:val="0"/>
              <w:spacing w:before="0" w:after="283"/>
              <w:jc w:val="center"/>
              <w:rPr>
                <w:b/>
              </w:rPr>
            </w:pPr>
            <w:r>
              <w:rPr>
                <w:b/>
              </w:rPr>
              <w:t>Fees Earned</w:t>
              <w:br/>
              <w:t>or Paid in Cash</w:t>
              <w:br/>
              <w:t>($)</w:t>
            </w:r>
          </w:p>
        </w:tc>
        <w:tc>
          <w:tcPr>
            <w:tcW w:w="90" w:type="dxa"/>
            <w:tcBorders/>
            <w:tcMar>
              <w:bottom w:w="0" w:type="dxa"/>
            </w:tcMar>
            <w:vAlign w:val="center"/>
          </w:tcPr>
          <w:p>
            <w:pPr>
              <w:pStyle w:val="TableContents"/>
              <w:bidi w:val="0"/>
              <w:spacing w:before="0" w:after="283"/>
              <w:jc w:val="left"/>
              <w:rPr/>
            </w:pPr>
            <w:r>
              <w:rPr/>
              <w:t> </w:t>
            </w:r>
          </w:p>
        </w:tc>
        <w:tc>
          <w:tcPr>
            <w:tcW w:w="903"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br/>
              <w:t>Awards</w:t>
            </w:r>
            <w:r>
              <w:rPr>
                <w:rFonts w:ascii="Times New Roman;Times;Serif" w:hAnsi="Times New Roman;Times;Serif"/>
                <w:b/>
                <w:position w:val="7"/>
                <w:sz w:val="16"/>
                <w:sz w:val="20"/>
              </w:rPr>
              <w:t>(2)</w:t>
              <w:br/>
            </w: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1520" w:type="dxa"/>
            <w:gridSpan w:val="3"/>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1055" w:type="dxa"/>
            <w:gridSpan w:val="3"/>
            <w:tcBorders>
              <w:bottom w:val="single" w:sz="12" w:space="0" w:color="000000"/>
            </w:tcBorders>
            <w:vAlign w:val="center"/>
          </w:tcPr>
          <w:p>
            <w:pPr>
              <w:pStyle w:val="TableContents"/>
              <w:bidi w:val="0"/>
              <w:spacing w:before="0" w:after="283"/>
              <w:ind w:left="0" w:right="0" w:hanging="200"/>
              <w:jc w:val="center"/>
              <w:rPr>
                <w:b/>
              </w:rPr>
            </w:pPr>
            <w:r>
              <w:rPr>
                <w:b/>
              </w:rPr>
              <w:t>Total</w:t>
              <w:br/>
              <w:t>($)</w:t>
            </w:r>
          </w:p>
        </w:tc>
      </w:tr>
      <w:tr>
        <w:trPr/>
        <w:tc>
          <w:tcPr>
            <w:tcW w:w="2315" w:type="dxa"/>
            <w:tcBorders/>
            <w:shd w:fill="CCEEFF" w:val="clear"/>
            <w:tcMar>
              <w:bottom w:w="0" w:type="dxa"/>
            </w:tcMar>
            <w:vAlign w:val="center"/>
          </w:tcPr>
          <w:p>
            <w:pPr>
              <w:pStyle w:val="TableContents"/>
              <w:bidi w:val="0"/>
              <w:spacing w:before="0" w:after="283"/>
              <w:jc w:val="left"/>
              <w:rPr>
                <w:b/>
              </w:rPr>
            </w:pPr>
            <w:r>
              <w:rPr>
                <w:b/>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95,000</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9,775</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104,775</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Cooper C. Collins</w:t>
            </w:r>
          </w:p>
        </w:tc>
        <w:tc>
          <w:tcPr>
            <w:tcW w:w="90" w:type="dxa"/>
            <w:tcBorders/>
            <w:tcMar>
              <w:bottom w:w="0" w:type="dxa"/>
            </w:tcMar>
            <w:vAlign w:val="center"/>
          </w:tcPr>
          <w:p>
            <w:pPr>
              <w:pStyle w:val="TableContents"/>
              <w:bidi w:val="0"/>
              <w:spacing w:before="0" w:after="283"/>
              <w:jc w:val="left"/>
              <w:rPr/>
            </w:pPr>
            <w:r>
              <w:rPr/>
              <w:t> </w:t>
            </w:r>
          </w:p>
        </w:tc>
        <w:tc>
          <w:tcPr>
            <w:tcW w:w="16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99,500</w:t>
            </w:r>
          </w:p>
        </w:tc>
        <w:tc>
          <w:tcPr>
            <w:tcW w:w="1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9,775</w:t>
            </w:r>
          </w:p>
        </w:tc>
        <w:tc>
          <w:tcPr>
            <w:tcW w:w="1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622"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109,275</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Gail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77,500</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9,775</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87,275</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Justin Roberts</w:t>
            </w:r>
          </w:p>
        </w:tc>
        <w:tc>
          <w:tcPr>
            <w:tcW w:w="90" w:type="dxa"/>
            <w:tcBorders/>
            <w:tcMar>
              <w:bottom w:w="0" w:type="dxa"/>
            </w:tcMar>
            <w:vAlign w:val="center"/>
          </w:tcPr>
          <w:p>
            <w:pPr>
              <w:pStyle w:val="TableContents"/>
              <w:bidi w:val="0"/>
              <w:spacing w:before="0" w:after="283"/>
              <w:jc w:val="left"/>
              <w:rPr/>
            </w:pPr>
            <w:r>
              <w:rPr/>
              <w:t> </w:t>
            </w:r>
          </w:p>
        </w:tc>
        <w:tc>
          <w:tcPr>
            <w:tcW w:w="16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w:t>
            </w:r>
          </w:p>
        </w:tc>
        <w:tc>
          <w:tcPr>
            <w:tcW w:w="1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w:t>
            </w:r>
          </w:p>
        </w:tc>
        <w:tc>
          <w:tcPr>
            <w:tcW w:w="1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622"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 2025, each of the directors listed in the “Director Compensation” table had the following awards outstanding:</w:t>
            </w:r>
          </w:p>
        </w:tc>
      </w:tr>
    </w:tbl>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28" w:type="dxa"/>
          <w:right w:w="0" w:type="dxa"/>
        </w:tblCellMar>
      </w:tblPr>
      <w:tblGrid>
        <w:gridCol w:w="2315"/>
        <w:gridCol w:w="90"/>
        <w:gridCol w:w="113"/>
        <w:gridCol w:w="747"/>
        <w:gridCol w:w="90"/>
        <w:gridCol w:w="90"/>
        <w:gridCol w:w="113"/>
        <w:gridCol w:w="747"/>
        <w:gridCol w:w="135"/>
      </w:tblGrid>
      <w:tr>
        <w:trPr/>
        <w:tc>
          <w:tcPr>
            <w:tcW w:w="231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Stock</w:t>
              <w:br/>
              <w:t>Awards</w:t>
              <w:br/>
              <w:t>(#)</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5,750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8,500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Cooper C. Collins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4,000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8,500</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Gail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8,500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Justin Roberts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awards listed above include 8,500 restricted stock units that were not vested as of December 31, 2025, for each of Mr. Thompson, Mr. Collins and Dr. Naughton,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9"/>
        <w:gridCol w:w="9898"/>
      </w:tblGrid>
      <w:tr>
        <w:trPr/>
        <w:tc>
          <w:tcPr>
            <w:tcW w:w="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grant RSUs for shares of common stock to non-employee directors. We value our RSUs by reference to our stock price on the date of grant. We recognize compensation expense for RSUs based on a straight-line basis over the requisite service period of the entire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March 23, 2026, by the following:</w:t>
      </w:r>
    </w:p>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00"/>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 and</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68"/>
        <w:gridCol w:w="200"/>
        <w:gridCol w:w="9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person, or group of affiliated persons, who is known by us to beneficially own more than 5%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and generally means that a person has 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60 days of March 30, 2026. Shares issuable pursuant to stock options, warrants, and convertible securities are deemed outstanding for computing the percentage of the person holding such options, warrants, or convertible securities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TherapeuticsMD, Inc., 951 Yamato Road, Suite 220, Boca Raton, Florida 33431.</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4835"/>
        <w:gridCol w:w="90"/>
        <w:gridCol w:w="96"/>
        <w:gridCol w:w="1081"/>
        <w:gridCol w:w="96"/>
        <w:gridCol w:w="96"/>
        <w:gridCol w:w="145"/>
        <w:gridCol w:w="759"/>
        <w:gridCol w:w="290"/>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Beneficially</w:t>
              <w:br/>
              <w:t>Owned</w:t>
            </w:r>
          </w:p>
        </w:tc>
        <w:tc>
          <w:tcPr>
            <w:tcW w:w="290" w:type="dxa"/>
            <w:tcBorders/>
            <w:vAlign w:val="center"/>
          </w:tcPr>
          <w:p>
            <w:pPr>
              <w:pStyle w:val="TableContents"/>
              <w:bidi w:val="0"/>
              <w:spacing w:before="0" w:after="283"/>
              <w:jc w:val="left"/>
              <w:rPr/>
            </w:pPr>
            <w:r>
              <w:rPr/>
              <w:t> </w:t>
            </w:r>
          </w:p>
        </w:tc>
      </w:tr>
      <w:tr>
        <w:trPr/>
        <w:tc>
          <w:tcPr>
            <w:tcW w:w="4835" w:type="dxa"/>
            <w:tcBorders>
              <w:bottom w:val="single" w:sz="12" w:space="0" w:color="000000"/>
            </w:tcBorders>
            <w:tcMar>
              <w:bottom w:w="28" w:type="dxa"/>
            </w:tcMar>
            <w:vAlign w:val="center"/>
          </w:tcPr>
          <w:p>
            <w:pPr>
              <w:pStyle w:val="TableContents"/>
              <w:bidi w:val="0"/>
              <w:spacing w:before="0" w:after="283"/>
              <w:jc w:val="left"/>
              <w:rPr>
                <w:b/>
              </w:rPr>
            </w:pPr>
            <w:r>
              <w:rPr>
                <w:b/>
              </w:rPr>
              <w:t>Name of Beneficial Owners</w:t>
            </w:r>
          </w:p>
        </w:tc>
        <w:tc>
          <w:tcPr>
            <w:tcW w:w="90" w:type="dxa"/>
            <w:tcBorders/>
            <w:vAlign w:val="center"/>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b/>
              </w:rPr>
            </w:pPr>
            <w:r>
              <w:rPr>
                <w:b/>
              </w:rPr>
              <w:t>Executive Officers and Directors:</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212,623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Tommy G. Thompson</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43,262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 C. Collins</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64,516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Gail K. Naughton, Ph.D.</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8,500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pPr>
            <w:r>
              <w:rPr/>
              <w:t>Justin Roberts</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r>
              <w:rPr>
                <w:rFonts w:ascii="Times New Roman;Times;Serif" w:hAnsi="Times New Roman;Times;Serif"/>
                <w:position w:val="7"/>
                <w:sz w:val="16"/>
                <w:sz w:val="20"/>
              </w:rPr>
              <w:t>(6)</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7,500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pPr>
            <w:r>
              <w:rPr/>
              <w:t>All executives and directors as a group (6 persons)</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336,401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b/>
              </w:rPr>
            </w:pPr>
            <w:r>
              <w:rPr>
                <w:b/>
              </w:rPr>
              <w:t>5% Stockholders:</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Rubric Capital Management LP</w:t>
            </w:r>
            <w:r>
              <w:rPr>
                <w:rFonts w:ascii="Times New Roman;Times;Serif" w:hAnsi="Times New Roman;Times;Serif"/>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2,946,908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25.5</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Clearline Capital LP</w:t>
            </w:r>
            <w:r>
              <w:rPr>
                <w:rFonts w:ascii="Times New Roman;Times;Serif" w:hAnsi="Times New Roman;Times;Serif"/>
                <w:position w:val="7"/>
                <w:sz w:val="16"/>
                <w:sz w:val="20"/>
              </w:rPr>
              <w:t>(8)</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635,222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155"/>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less than 1% of the outstanding shares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90"/>
        <w:gridCol w:w="52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Based on 11,574,362 shares outstanding as of March 23, 2026.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283"/>
              <w:jc w:val="left"/>
              <w:rPr/>
            </w:pPr>
            <w:r>
              <w:rPr/>
              <w:t>Includes (i) 141,131 shares held by Mr. Walker directly and (ii) 71,492 shares issuable to Mr. Walker upon the exercise of vested stock options.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left"/>
              <w:rPr/>
            </w:pPr>
            <w:r>
              <w:rPr/>
              <w:t>Includes (i) 14,312 shares held by Thompson Family Investments, LLC, an entity solely owned by Thompson Family Holdings, LLC, an entity solely owned by Mr. Thompson, (ii) 23,179 shares held by Mr. Thompson directly, (iii) 21 shares held indirectly by Thompson Family Holdings, LLC and (iv) 5,750 shares issuable to Mr. Thompson upon the exercise of vested stock options.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 60,516 shares held by Mr. Collins directly and (ii) 4,000 shares issuable to Mr. Collins upon the exercise of vested stock options. Mr. Cooper has pledged 100% of his shares.</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90"/>
        <w:gridCol w:w="43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8,500 shares held by Dr. Naughton directly.</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7,500 shares held by Mr. Ziegler directly.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solely on the Schedule 13D/A filed with the SEC by Rubric Capital Management LP on November 17, 2023. Rubric Capital Management LP has shared voting and shared dispositive power over 2,946,908 shares. The address of Rubric Capital Management LP is 155 East 44</w:t>
            </w:r>
            <w:r>
              <w:rPr>
                <w:rFonts w:ascii="Times New Roman;Times;Serif" w:hAnsi="Times New Roman;Times;Serif"/>
                <w:position w:val="7"/>
                <w:sz w:val="16"/>
                <w:sz w:val="20"/>
              </w:rPr>
              <w:t>th</w:t>
            </w:r>
            <w:r>
              <w:rPr>
                <w:rFonts w:ascii="Times New Roman;Times;Serif" w:hAnsi="Times New Roman;Times;Serif"/>
                <w:sz w:val="20"/>
              </w:rPr>
              <w:t xml:space="preserve"> Street, Suite 1630, New York, NY 10017.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solely on a Schedule 13G filed with the SEC by Clearline Capital LP on February 12, 2025. Clearline Capital LP has shared voting and shared dispositive power over 635,222 shares. The address of Clearline Capital LP is 950 Third Avenue, 23</w:t>
            </w:r>
            <w:r>
              <w:rPr>
                <w:rFonts w:ascii="Times New Roman;Times;Serif" w:hAnsi="Times New Roman;Times;Serif"/>
                <w:position w:val="7"/>
                <w:sz w:val="16"/>
                <w:sz w:val="20"/>
              </w:rPr>
              <w:t>rd</w:t>
            </w:r>
            <w:r>
              <w:rPr>
                <w:rFonts w:ascii="Times New Roman;Times;Serif" w:hAnsi="Times New Roman;Times;Serif"/>
                <w:sz w:val="20"/>
              </w:rPr>
              <w:t xml:space="preserve"> Floor, New York, NY 10022.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COMPENSATION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table shows the number of securities to be issued upon exercise of outstanding options under equity compensation plans approved by our stockholders, which plans do not provide for the issuance of warrants or other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1"/>
        <w:gridCol w:w="90"/>
        <w:gridCol w:w="250"/>
        <w:gridCol w:w="1164"/>
        <w:gridCol w:w="118"/>
        <w:gridCol w:w="118"/>
        <w:gridCol w:w="536"/>
        <w:gridCol w:w="746"/>
        <w:gridCol w:w="118"/>
        <w:gridCol w:w="118"/>
        <w:gridCol w:w="485"/>
        <w:gridCol w:w="675"/>
        <w:gridCol w:w="90"/>
        <w:gridCol w:w="90"/>
        <w:gridCol w:w="147"/>
        <w:gridCol w:w="1163"/>
        <w:gridCol w:w="90"/>
        <w:gridCol w:w="90"/>
        <w:gridCol w:w="172"/>
        <w:gridCol w:w="1603"/>
        <w:gridCol w:w="141"/>
      </w:tblGrid>
      <w:tr>
        <w:trPr/>
        <w:tc>
          <w:tcPr>
            <w:tcW w:w="22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2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w:t>
              <w:br/>
              <w:t>Number of Securities to be Issued Upon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w:t>
              <w:br/>
              <w:t>Number of</w:t>
              <w:br/>
              <w:t>Securities</w:t>
              <w:br/>
              <w:t>Remaining</w:t>
              <w:br/>
              <w:t>Available For</w:t>
              <w:br/>
              <w:t>Future</w:t>
              <w:br/>
              <w:t>Issuance</w:t>
            </w:r>
          </w:p>
        </w:tc>
        <w:tc>
          <w:tcPr>
            <w:tcW w:w="141" w:type="dxa"/>
            <w:tcBorders/>
            <w:vAlign w:val="center"/>
          </w:tcPr>
          <w:p>
            <w:pPr>
              <w:pStyle w:val="TableContents"/>
              <w:bidi w:val="0"/>
              <w:spacing w:before="0" w:after="283"/>
              <w:jc w:val="left"/>
              <w:rPr/>
            </w:pPr>
            <w:r>
              <w:rPr/>
              <w:t> </w:t>
            </w:r>
          </w:p>
        </w:tc>
      </w:tr>
      <w:tr>
        <w:trPr/>
        <w:tc>
          <w:tcPr>
            <w:tcW w:w="2201" w:type="dxa"/>
            <w:tcBorders>
              <w:bottom w:val="single" w:sz="12" w:space="0" w:color="000000"/>
            </w:tcBorders>
            <w:tcMar>
              <w:bottom w:w="28" w:type="dxa"/>
            </w:tcMar>
            <w:vAlign w:val="center"/>
          </w:tcPr>
          <w:p>
            <w:pPr>
              <w:pStyle w:val="TableContents"/>
              <w:bidi w:val="0"/>
              <w:spacing w:before="0" w:after="283"/>
              <w:jc w:val="left"/>
              <w:rPr>
                <w:b/>
              </w:rPr>
            </w:pPr>
            <w:r>
              <w:rPr>
                <w:b/>
              </w:rPr>
              <w:t>Plan Name</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of</w:t>
              <w:br/>
              <w:t>Outstanding</w:t>
              <w:br/>
              <w:t xml:space="preserve">Options </w:t>
              <w:b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Vesting and</w:t>
              <w:br/>
              <w:t>Settlement of</w:t>
              <w:br/>
              <w:t>Restricted</w:t>
              <w:br/>
              <w:t>Stock Units</w:t>
              <w:br/>
              <w:t>(“RSUs”)</w:t>
              <w:b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 and</w:t>
              <w:br/>
              <w:t>Settlement of</w:t>
              <w:br/>
              <w:t>Performance</w:t>
              <w:br/>
              <w:t>Stock Units</w:t>
              <w:br/>
              <w:t>(“PSUs”)</w:t>
            </w:r>
            <w:r>
              <w:rPr>
                <w:rFonts w:ascii="Times New Roman;Times;Serif" w:hAnsi="Times New Roman;Times;Serif"/>
                <w:b/>
                <w:position w:val="7"/>
                <w:sz w:val="16"/>
                <w:sz w:val="20"/>
              </w:rPr>
              <w:br/>
            </w: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 Equity</w:t>
              <w:br/>
              <w:t>Compensation Plans</w:t>
              <w:br/>
              <w:t>(Excluding</w:t>
              <w:br/>
              <w:t>Securities</w:t>
              <w:br/>
              <w:t>Reflected in</w:t>
              <w:br/>
              <w:t>Columns (a))</w:t>
            </w:r>
            <w:r>
              <w:rPr>
                <w:rFonts w:ascii="Times New Roman;Times;Serif" w:hAnsi="Times New Roman;Times;Serif"/>
                <w:b/>
                <w:position w:val="7"/>
                <w:sz w:val="16"/>
                <w:sz w:val="20"/>
              </w:rPr>
              <w:t>(1)</w:t>
              <w:br/>
            </w:r>
            <w:r>
              <w:rPr>
                <w:rFonts w:ascii="Times New Roman;Times;Serif" w:hAnsi="Times New Roman;Times;Serif"/>
                <w:b/>
                <w:sz w:val="20"/>
              </w:rPr>
              <w:t>(#)</w:t>
            </w:r>
          </w:p>
        </w:tc>
        <w:tc>
          <w:tcPr>
            <w:tcW w:w="141"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Equity Compensation Plans Approved by Stockholders</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82"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180"/>
              <w:jc w:val="left"/>
              <w:rPr/>
            </w:pPr>
            <w:r>
              <w:rPr/>
              <w:t> </w:t>
            </w:r>
          </w:p>
        </w:tc>
      </w:tr>
      <w:tr>
        <w:trPr/>
        <w:tc>
          <w:tcPr>
            <w:tcW w:w="2201" w:type="dxa"/>
            <w:tcBorders/>
            <w:shd w:fill="CCEEFF" w:val="clear"/>
            <w:vAlign w:val="center"/>
          </w:tcPr>
          <w:p>
            <w:pPr>
              <w:pStyle w:val="TableContents"/>
              <w:bidi w:val="0"/>
              <w:spacing w:before="0" w:after="283"/>
              <w:jc w:val="left"/>
              <w:rPr/>
            </w:pPr>
            <w:r>
              <w:rPr/>
              <w:t>2019 Plan</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450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428,779</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201" w:type="dxa"/>
            <w:tcBorders/>
            <w:vAlign w:val="center"/>
          </w:tcPr>
          <w:p>
            <w:pPr>
              <w:pStyle w:val="TableContents"/>
              <w:bidi w:val="0"/>
              <w:spacing w:before="0" w:after="283"/>
              <w:jc w:val="left"/>
              <w:rPr/>
            </w:pPr>
            <w:r>
              <w:rPr/>
              <w:t>2012 Plan</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6,800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299.75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603"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2201" w:type="dxa"/>
            <w:tcBorders/>
            <w:shd w:fill="CCEEFF" w:val="clear"/>
            <w:vAlign w:val="center"/>
          </w:tcPr>
          <w:p>
            <w:pPr>
              <w:pStyle w:val="TableContents"/>
              <w:bidi w:val="0"/>
              <w:spacing w:before="0" w:after="283"/>
              <w:jc w:val="left"/>
              <w:rPr/>
            </w:pPr>
            <w:r>
              <w:rPr/>
              <w:t>2009 Plan</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9,275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294.78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201" w:type="dxa"/>
            <w:tcBorders/>
            <w:vAlign w:val="center"/>
          </w:tcPr>
          <w:p>
            <w:pPr>
              <w:pStyle w:val="TableContents"/>
              <w:bidi w:val="0"/>
              <w:spacing w:before="0" w:after="283"/>
              <w:jc w:val="left"/>
              <w:rPr/>
            </w:pPr>
            <w:r>
              <w:rPr/>
              <w:t>Equity Compensation Plans Not Approved by Stockholders</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603"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ind w:left="0" w:right="0" w:hanging="180"/>
              <w:jc w:val="left"/>
              <w:rPr/>
            </w:pPr>
            <w:r>
              <w:rPr/>
              <w:t> </w:t>
            </w:r>
          </w:p>
        </w:tc>
      </w:tr>
      <w:tr>
        <w:trPr/>
        <w:tc>
          <w:tcPr>
            <w:tcW w:w="2201" w:type="dxa"/>
            <w:tcBorders/>
            <w:shd w:fill="CCEEFF" w:val="clear"/>
            <w:vAlign w:val="center"/>
          </w:tcPr>
          <w:p>
            <w:pPr>
              <w:pStyle w:val="TableContents"/>
              <w:bidi w:val="0"/>
              <w:spacing w:before="0" w:after="283"/>
              <w:jc w:val="left"/>
              <w:rPr/>
            </w:pPr>
            <w:r>
              <w:rPr/>
              <w:t>None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remaining shares of common stock available for future issuance is based on an assumption that the maximum performance goals for PSUs were achieved, where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Policy Relating to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policy that we will not enter into any material transaction in which a director or officer has a direct or indirect financial interest unless the transaction is determined by our Board of Directors to be fair to us or is approved by a majority of our disinterested directors or by our stockholders, as provided for under Nevada law. Generally, our Board of Directors as a whole, other than an affected director, if applicable, determines whether a director or officer has a direct or indirect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any) financial interest in a transaction deemed material based upon our Code of Conduct and Ethics and Nevada law. From time to time, our Audit Committee, in accordance with its charter, will also review potential conflict of interest transactions involving members of our Board of Directors and our executive officers. The policy with respect to such transactions is provided in our Company’s 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we describe below transactions and series of similar transactions, since January 1, 2023, to which we were a party or will be a party, in which:</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68"/>
        <w:gridCol w:w="200"/>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voting securities, or any member of the immediate family of the foregoing persons,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directors and NEOs are described elsewhere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Agreements with Rubric Capital Management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2022, we appointed Mr. Justin Roberts as a director to fill a newly created vacancy on the Board of Directors. As a director of the Company, Mr. Roberts is entitled to receive compensation in the same manner as our other non-employee directors,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and in accordance with the terms of the Certificate of Designation, the Company redeemed all 29,000 outstanding shares of the Company’s Series A Preferred Stock from Rubric at a purchase price of $1,333 per share. The Company also paid certain affiliates of Rubric approximately $3.0 million as a make-whole payment pursuant to the subscription agreements previously entered into between the Company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drawdowns in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Item 10 - Directors, Executive Officers and Corporate Governance</w:t>
      </w:r>
      <w:r>
        <w:rPr>
          <w:rFonts w:ascii="Times New Roman;Times;Serif" w:hAnsi="Times New Roman;Times;Serif"/>
          <w:b w:val="false"/>
          <w:i w:val="false"/>
          <w:caps w:val="false"/>
          <w:smallCaps w:val="false"/>
          <w:sz w:val="20"/>
        </w:rPr>
        <w:t xml:space="preserve"> above for a discussion on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is Carr, Riggs &amp; Ingram, L.L.C. (“CRI”).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Audit Committee of the Board dismissed Berkowitz Pollack Brant, Advisors + CPAs (“BPB”) as our independent registered public accounting firm and appointed CRI for the fiscal year ending December 31, 2025. The dismissal was not related to any disagreement with BPB on any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our Company for the fiscal year ended December 31, 2025 by CRI:</w:t>
      </w:r>
    </w:p>
    <w:p>
      <w:pPr>
        <w:pStyle w:val="TextBody"/>
        <w:bidi w:val="0"/>
        <w:spacing w:before="0" w:after="0"/>
        <w:ind w:left="0" w:right="0" w:hanging="0"/>
        <w:jc w:val="left"/>
        <w:rPr>
          <w:caps w:val="false"/>
          <w:smallCaps w:val="false"/>
        </w:rPr>
      </w:pPr>
      <w:r>
        <w:rPr>
          <w:caps w:val="false"/>
          <w:smallCaps w:val="false"/>
        </w:rPr>
        <w:t> </w:t>
      </w:r>
    </w:p>
    <w:tbl>
      <w:tblPr>
        <w:tblW w:w="3480" w:type="dxa"/>
        <w:jc w:val="left"/>
        <w:tblInd w:w="0" w:type="dxa"/>
        <w:tblLayout w:type="fixed"/>
        <w:tblCellMar>
          <w:top w:w="0" w:type="dxa"/>
          <w:left w:w="0" w:type="dxa"/>
          <w:bottom w:w="0" w:type="dxa"/>
          <w:right w:w="0" w:type="dxa"/>
        </w:tblCellMar>
      </w:tblPr>
      <w:tblGrid>
        <w:gridCol w:w="1745"/>
        <w:gridCol w:w="90"/>
        <w:gridCol w:w="90"/>
        <w:gridCol w:w="710"/>
        <w:gridCol w:w="90"/>
        <w:gridCol w:w="90"/>
        <w:gridCol w:w="221"/>
        <w:gridCol w:w="309"/>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our Company for the fiscal year ended December 31, 2025 and 2024 by BPB:</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1745"/>
        <w:gridCol w:w="90"/>
        <w:gridCol w:w="90"/>
        <w:gridCol w:w="830"/>
        <w:gridCol w:w="90"/>
        <w:gridCol w:w="90"/>
        <w:gridCol w:w="90"/>
        <w:gridCol w:w="830"/>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114,886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201,326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114,886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201,326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associated with the annual audit, reviews of our annual and quarterly reports, and other filings with the SEC as well as comfort letters and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Pre-Approval Policies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our Audit Committee provides that the duties and responsibilities of our Audit Committee include the pre-approval, or adopting procedures for pre-approval, of all audit, audit-related, tax, and other services permitted by law or applicable SEC regulations (including fee and cost ranges) to be performed by our independent auditor. Any pre-approved services that will involve fees or costs exceeding pre-approved levels will also require specific pre-approval by the Audit Committee. Unless otherwise specified by the Audit Committee in pre-approving a service, the pre-approval will be effective for the 12-month period following pre-approval. The Audit Committee will not approve any non-audit services prohibited by applicable SEC regulations or any services in connection with a transaction initially recommended by the independent auditor, the purpose of which may be tax avoidance and the tax treatment of which may not be supported by the Internal Revenue Code and related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deemed appropriate, the Audit Committee may delegate pre-approval authority to the Chairperson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to management the pre-approval of services to be performed by the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requires that our independent auditor, in conjunction with our Chief Financial Officer, be responsible for seeking pre-approval for providing services to us and that any request for pre-approval must inform the Audit Committee about each service to be provided and must provide detail as to the particular service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services provided by our independent registered public accounting firm described above were approved by our Audit Committee pursuant to our Audit Committee’s pre-approval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60"/>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financial statements schedules</w:t>
            </w:r>
          </w:p>
        </w:tc>
      </w:tr>
    </w:tbl>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75"/>
        <w:gridCol w:w="866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 are listed in the Index to Financial Statements on page F-1 of this 2025 10-K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48"/>
        <w:gridCol w:w="9852"/>
      </w:tblGrid>
      <w:tr>
        <w:trPr/>
        <w:tc>
          <w:tcPr>
            <w:tcW w:w="10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financial statement schedules are included because such schedules are not applicable, are not required, or because required information is included in the consolidated financial statements or notes thereto.</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68"/>
        <w:gridCol w:w="275"/>
        <w:gridCol w:w="80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8"/>
        <w:gridCol w:w="90"/>
        <w:gridCol w:w="9247"/>
      </w:tblGrid>
      <w:tr>
        <w:trPr/>
        <w:tc>
          <w:tcPr>
            <w:tcW w:w="8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24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6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r>
              <w:rPr/>
              <w:t> </w:t>
            </w:r>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Agreement and Plan of Reorganization, dated July 6, 2009, among Croff Enterprises, Inc., AMHN Acquisition Corp., America’s Minority Health Network, Inc., and the Major Shareholders(1)</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Agreement and Plan of Reorganization, dated June 11, 2010, among AMHN, Inc., SHN Acquisition Corp., Spectrum Health Network, Inc., and the Sole Shareholder of Spectrum Health Network, Inc.(2)</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Croff Enterprises, Inc. Plan of Corporate Division and Reorganization, dated October 25, 2007 (3)</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Agreement and Plan of Merger, dated July 18, 2011, among vitaMedMD, LLC, AMHN, Inc., and vitaMed Acquisition, LLC(4)</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Stock Purchase Agreement, dated March 6, 2022, by and between TherapeuticsMD, Inc. and GoodRx, Inc. (5)</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Articles of Conversion of AMHN, Inc. filed in the State of Nevada, dated July 20, 2010 (6)</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Articles of Incorporation of AMHN, Inc. filed in the State of Nevada, dated July 20, 2010 (6)</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w:anchor="ea027599201ex3-3.htm">
              <w:r>
                <w:rPr>
                  <w:rStyle w:val="InternetLink"/>
                  <w:rFonts w:ascii="Times New Roman;Times;Serif" w:hAnsi="Times New Roman;Times;Serif"/>
                  <w:sz w:val="20"/>
                </w:rPr>
                <w:t>Composite Amended and Restated Articles of Incorporation of the Company, as amended</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Bylaws of the AMHN, Inc. (7)</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First Amendment to Bylaws of the Company, dated December 17, 2015 (8)</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Second Amendment to Bylaws of the Company, adopted May 27, 2022 (9)</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Third Amendment to Bylaws of the Company, dated July 29, 2022 (10)</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Certificate of Change to Articles of Incorporation of the Company (11)</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Certificate of Designation, Preferences and Rights of Series A Preferred Stock (10)</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Fourth Amendment to Bylaws of the Company, dated June 29, 2023 (12)</w:t>
              </w:r>
            </w:hyperlink>
          </w:p>
        </w:tc>
      </w:tr>
      <w:tr>
        <w:trPr/>
        <w:tc>
          <w:tcPr>
            <w:tcW w:w="868" w:type="dxa"/>
            <w:tcBorders/>
            <w:tcMar>
              <w:bottom w:w="0" w:type="dxa"/>
            </w:tcMar>
            <w:vAlign w:val="center"/>
          </w:tcPr>
          <w:p>
            <w:pPr>
              <w:pStyle w:val="TableContents"/>
              <w:bidi w:val="0"/>
              <w:spacing w:before="0" w:after="283"/>
              <w:jc w:val="left"/>
              <w:rPr/>
            </w:pPr>
            <w:r>
              <w:rPr/>
              <w:t>3.11†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w:anchor="ea027599201ex3-11.htm">
              <w:r>
                <w:rPr>
                  <w:rStyle w:val="InternetLink"/>
                </w:rPr>
                <w:t>Certificate of Amendment to Amended and Restated Articles of Incorporation, filed in the State of Nevada, dated January 5, 2026.</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Form of Certificate of Common Stock (13)</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Description of Securities of the Company (14)</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Form of Common Stock Purchase Warrant (15)</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Form of Non-Qualified Stock Option Agreement (15)</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TherapeuticsMD, Inc. 2019 Stock Incentive Plan (16)</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"https://www.sec.gov/Archives/edgar/data/25743/000119312521116458/d152560ddef14a.htm" \l "tx152560_61"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First Amendment to the TherapeuticsMD, Inc. 2019 Stock Incentive Plan (17)</w:t>
            </w:r>
            <w:r>
              <w:rPr>
                <w:rStyle w:val="InternetLink"/>
                <w:sz w:val="20"/>
                <w:rFonts w:ascii="Times New Roman;Times;Serif" w:hAnsi="Times New Roman;Times;Serif"/>
              </w:rPr>
              <w:fldChar w:fldCharType="end"/>
            </w:r>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Amended and Restated 2012 Stock Incentive Plan (18)</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2009 Long Term Incentive Compensation Plan, as amended (19)</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"http://www.sec.gov/Archives/edgar/data/25743/000138713120004409/txmd-def14a_061820.htm" \l "txmd_027"</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TherapeuticsMD, Inc. 2020 Employee Stock Purchase Plan (20)</w:t>
            </w:r>
            <w:r>
              <w:rPr>
                <w:rStyle w:val="InternetLink"/>
                <w:sz w:val="20"/>
                <w:rFonts w:ascii="Times New Roman;Times;Serif" w:hAnsi="Times New Roman;Times;Serif"/>
              </w:rPr>
              <w:fldChar w:fldCharType="end"/>
            </w:r>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Form of Warrant to Purchase Common Stock, dated August 5, 2020 (21)</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Amendment to Company Warrant issued by the Company to the Subscribers party to that certain Subscription Agreement, dated as of August 5, 2020, dated November 8, 2020 (22)</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90"/>
        <w:gridCol w:w="9371"/>
      </w:tblGrid>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26">
              <w:r>
                <w:rPr>
                  <w:rStyle w:val="InternetLink"/>
                  <w:rFonts w:ascii="Times New Roman;Times;Serif" w:hAnsi="Times New Roman;Times;Serif"/>
                  <w:sz w:val="20"/>
                </w:rPr>
                <w:t>Second Amendment to Company Warrant issued by the Company to the Subscribers party to that certain Subscription Agreement, dated as of August 5, 2020 (23)</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Subscription Agreement, dated August 5, 2020, by and among TherapeuticsMD, Inc. and the Subscribers identified on the Schedule of Subscribers attached thereto (21)</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28">
              <w:r>
                <w:rPr>
                  <w:rStyle w:val="InternetLink"/>
                  <w:rFonts w:ascii="Times New Roman;Times;Serif" w:hAnsi="Times New Roman;Times;Serif"/>
                  <w:sz w:val="20"/>
                </w:rPr>
                <w:t>License Agreement, dated July 30, 2018, by and between TherapeuticsMD, Inc. and The Population Council, Inc. (24)</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Lease, dated October 5, 2018, by and between 951 Yamato Acquisition Company, LLC and TherapeuticsMD, Inc. (25)</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0">
              <w:r>
                <w:rPr>
                  <w:rStyle w:val="InternetLink"/>
                  <w:rFonts w:ascii="Times New Roman;Times;Serif" w:hAnsi="Times New Roman;Times;Serif"/>
                  <w:sz w:val="20"/>
                </w:rPr>
                <w:t>License and Supply Agreement, dated June 6, 2019, by and between TherapeuticsMD, Inc. and Theramex HQ UK Limited (26)</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Form of Indemnification Agreement between TherapeuticsMD, Inc. and each of its executive officers and directors (22)</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2">
              <w:r>
                <w:rPr>
                  <w:rStyle w:val="InternetLink"/>
                  <w:rFonts w:ascii="Times New Roman;Times;Serif" w:hAnsi="Times New Roman;Times;Serif"/>
                  <w:sz w:val="20"/>
                </w:rPr>
                <w:t>License Agreement by and between TherapeuticsMD, Inc. and Mayne Pharma LLC, dated December 4, 2022 (27)</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Transaction Agreement by and between TherapeuticsMD, Inc. and Mayne Pharma LLC, dated December 4, 2022 (27)</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4">
              <w:r>
                <w:rPr>
                  <w:rStyle w:val="InternetLink"/>
                  <w:rFonts w:ascii="Times New Roman;Times;Serif" w:hAnsi="Times New Roman;Times;Serif"/>
                  <w:sz w:val="20"/>
                </w:rPr>
                <w:t>Amendment No. 1 to the License Agreement between TherapeuticsMD, Inc. and Mayne Pharma LLC, dated as of December 30, 2022 (14)</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5">
              <w:r>
                <w:rPr>
                  <w:rStyle w:val="InternetLink"/>
                  <w:rFonts w:ascii="Times New Roman;Times;Serif" w:hAnsi="Times New Roman;Times;Serif"/>
                  <w:sz w:val="20"/>
                </w:rPr>
                <w:t>Amendment No. 1 to the Transaction Agreement between TherapeuticsMD, Inc. and Mayne Pharma LLC, dated as of December 30, 2022 (14)</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6">
              <w:r>
                <w:rPr>
                  <w:rStyle w:val="InternetLink"/>
                  <w:rFonts w:ascii="Times New Roman;Times;Serif" w:hAnsi="Times New Roman;Times;Serif"/>
                  <w:sz w:val="20"/>
                </w:rPr>
                <w:t>Amended and Restated Employment Agreement, dated as of December 18, 2018, by and between TherapeuticsMD, Inc. and Marlan Walker (14)</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7">
              <w:r>
                <w:rPr>
                  <w:rStyle w:val="InternetLink"/>
                  <w:rFonts w:ascii="Times New Roman;Times;Serif" w:hAnsi="Times New Roman;Times;Serif"/>
                  <w:sz w:val="20"/>
                </w:rPr>
                <w:t>Amendment, effective October 15, 2021, to the Employment Agreement, dated as of December 18, 2018, by and between TherapeuticsMD, Inc. and Marlan Walker (14)</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8">
              <w:r>
                <w:rPr>
                  <w:rStyle w:val="InternetLink"/>
                  <w:rFonts w:ascii="Times New Roman;Times;Serif" w:hAnsi="Times New Roman;Times;Serif"/>
                  <w:sz w:val="20"/>
                </w:rPr>
                <w:t>Amendment, dated February 21, 2023, to the Employment Agreement, dated as of December 18, 2018, as extended effective October 15, 2021, by and between TherapeuticsMD, Inc. and Marlan Walker (28)</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dated December 17, 2024, to the Employment Agreement, dated as of December 18, 2018, as extended effective February 21, 2023, by and between TherapeuticsMD, Inc. and Marlan Walker (33)</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9">
              <w:r>
                <w:rPr>
                  <w:rStyle w:val="InternetLink"/>
                  <w:rFonts w:ascii="Times New Roman;Times;Serif" w:hAnsi="Times New Roman;Times;Serif"/>
                  <w:sz w:val="20"/>
                </w:rPr>
                <w:t>General Consulting and Services Agreement by and between TherapeuticsMD, Inc. and MCD Consulting Management Services, LLC, dated February 21, 2023 (28)</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"https://www.sec.gov/Archives/edgar/data/25743/000119312523147098/d256418ddef14a.htm" \l "tx256418_63"</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Subscription Agreement, dated May 1, 2023, between TherapeuticsMD, Inc. and Rubric Capital Management LP (29)</w:t>
            </w:r>
            <w:r>
              <w:rPr>
                <w:rStyle w:val="InternetLink"/>
                <w:sz w:val="20"/>
                <w:rFonts w:ascii="Times New Roman;Times;Serif" w:hAnsi="Times New Roman;Times;Serif"/>
              </w:rPr>
              <w:fldChar w:fldCharType="end"/>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0">
              <w:r>
                <w:rPr>
                  <w:rStyle w:val="InternetLink"/>
                  <w:rFonts w:ascii="Times New Roman;Times;Serif" w:hAnsi="Times New Roman;Times;Serif"/>
                  <w:sz w:val="20"/>
                </w:rPr>
                <w:t>Master Services Agreement, dated August 15, 2023, between TherapeuticsMD, Inc. and JZ Advisory Group (30)</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Letter from Berkowitz Pollack Brant Advisors + CPAs to the Securities and Exchange Commission, dated January 20, 2026 (32)</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
        <w:gridCol w:w="90"/>
        <w:gridCol w:w="9554"/>
      </w:tblGrid>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Insider Trading Policy (33)</w:t>
            </w:r>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w:anchor="ea027599201ex21-1.htm">
              <w:r>
                <w:rPr>
                  <w:rStyle w:val="InternetLink"/>
                  <w:rFonts w:ascii="Times New Roman;Times;Serif" w:hAnsi="Times New Roman;Times;Serif"/>
                  <w:sz w:val="20"/>
                </w:rPr>
                <w:t>Subsidiaries of the Company</w:t>
              </w:r>
            </w:hyperlink>
          </w:p>
        </w:tc>
      </w:tr>
      <w:tr>
        <w:trPr/>
        <w:tc>
          <w:tcPr>
            <w:tcW w:w="561" w:type="dxa"/>
            <w:tcBorders/>
            <w:shd w:fill="CCEEFF" w:val="clear"/>
            <w:vAlign w:val="center"/>
          </w:tcPr>
          <w:p>
            <w:pPr>
              <w:pStyle w:val="TableContents"/>
              <w:bidi w:val="0"/>
              <w:spacing w:before="0" w:after="283"/>
              <w:jc w:val="left"/>
              <w:rPr/>
            </w:pPr>
            <w:r>
              <w:rPr/>
              <w:t>23.1†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r>
              <w:rPr/>
              <w:t>Consent of Berkowitz Pollack Brant</w:t>
            </w:r>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of Carr, Riggs &amp; Ingram, L.L.C.</w:t>
            </w:r>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w:anchor="ea027599201ex31-1.htm">
              <w:r>
                <w:rPr>
                  <w:rStyle w:val="InternetLink"/>
                  <w:rFonts w:ascii="Times New Roman;Times;Serif" w:hAnsi="Times New Roman;Times;Serif"/>
                  <w:sz w:val="20"/>
                </w:rPr>
                <w:t>Certification of Chief Executive Officer pursuant to Rule 13a-14(a) and Rule 15d-14(a)</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w:anchor="ea027599201ex31-2.htm">
              <w:r>
                <w:rPr>
                  <w:rStyle w:val="InternetLink"/>
                  <w:rFonts w:ascii="Times New Roman;Times;Serif" w:hAnsi="Times New Roman;Times;Serif"/>
                  <w:sz w:val="20"/>
                </w:rPr>
                <w:t>Certification of Chief Financial Officer pursuant to Rule 13a-14(a) and Rule 15d-14(a)</w:t>
              </w:r>
            </w:hyperlink>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w:anchor="ea027599201ex32-1.htm">
              <w:r>
                <w:rPr>
                  <w:rStyle w:val="InternetLink"/>
                  <w:rFonts w:ascii="Times New Roman;Times;Serif" w:hAnsi="Times New Roman;Times;Serif"/>
                  <w:sz w:val="20"/>
                </w:rPr>
                <w:t>Section 1350 Certification of Chief Executive Officer</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w:anchor="ea027599201ex32-2.htm">
              <w:r>
                <w:rPr>
                  <w:rStyle w:val="InternetLink"/>
                  <w:rFonts w:ascii="Times New Roman;Times;Serif" w:hAnsi="Times New Roman;Times;Serif"/>
                  <w:sz w:val="20"/>
                </w:rPr>
                <w:t>Section 1350 Certification of Chief Financial Officer</w:t>
              </w:r>
            </w:hyperlink>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r:id="rId42">
              <w:r>
                <w:rPr>
                  <w:rStyle w:val="InternetLink"/>
                  <w:rFonts w:ascii="Times New Roman;Times;Serif" w:hAnsi="Times New Roman;Times;Serif"/>
                  <w:sz w:val="20"/>
                </w:rPr>
                <w:t>TherapeuticsMD, Inc. Policy on Recoupment of Incentive Compensation (31)</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Document Set for the consolidated financial statements and accompanying notes in Part IV, Item 15(a), “Financial Statements and Financial Statements Schedules” of this Annual Report on Form 10-K</w:t>
            </w:r>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Annual Report on 10-K, included 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70"/>
        <w:gridCol w:w="626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Indicates a contract with management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confidential material contained in the document has been omitted and filed separately with the Securities and Exchange Commission. Confidential treatment has been granted with respect to this omitted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Portions of this exhibit have been redacted in compliance with Regulation S-K Item 601(b)(2). The omitted information is not material and would likely cause competitive harm to the Company if publicly disclosed.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Item 601(a)(5) of Regulation S-K. The Company agrees to furnish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05"/>
        <w:gridCol w:w="1700"/>
      </w:tblGrid>
      <w:tr>
        <w:trPr/>
        <w:tc>
          <w:tcPr>
            <w:tcW w:w="305"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July 10, 2009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June 14,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2007 filed with the Commission on May 1, 2008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July 21, 2011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March 10,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June 30, 2010 filed with the Commission on August 3,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Definitive 14C Information Statement filed with the Commission on June 29,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December 22, 2015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June 3, 2022 and incorporated herein by reference (SEC File No. 001-00100).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August 1,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May 9,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July 6,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S-3 filed with the Commission on January 25, 2013 and incorporated hereby by reference (SEC File No. 333-186189).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2022 filed with the Commission on April 7,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October 11, 2011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S-8 filed with the Commission on June 21, 2019 and incorporated herein by reference (SEC File No. 333-232268).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appendix to the Definitive Proxy Statement filed with the Commission on April 14, 2021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August 22, 2013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Registration Statement on Form S-8 filed with the Commission on October 15, 2013 and incorporated herein by reference (SEC File No. 333-191730).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appendix to the Definitive Proxy Statement filed with the Commission on May 4,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June 30, 2020 filed with the Commission on August 7,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filed with the Commission on November 9,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2020 filed with the Commission on March 4, 2021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September 30, 2018 filed with the Commission on November 8, 2018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September 30, 2019 filed with the Commission on November 8, 2019 and incorporated herein by reference (SEC File No. 001-00100).</w:t>
            </w:r>
          </w:p>
        </w:tc>
      </w:tr>
      <w:tr>
        <w:trPr/>
        <w:tc>
          <w:tcPr>
            <w:tcW w:w="371"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June 30, 2019 filed with the Commission on August 9, 2019 and incorporated herein by reference (SEC File No. 001-00100).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December 5, 2022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February 27, 2023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appendix to the Definitive Proxy Statement filed with the Commission on May 17, 2023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September 30, 2023, filed with the Commission on November 14, 2023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2023 filed with the Commission on March 29, 2024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(32)</w:t>
            </w:r>
          </w:p>
        </w:tc>
        <w:tc>
          <w:tcPr>
            <w:tcW w:w="9786" w:type="dxa"/>
            <w:tcBorders/>
            <w:vAlign w:val="center"/>
          </w:tcPr>
          <w:p>
            <w:pPr>
              <w:pStyle w:val="TableContents"/>
              <w:bidi w:val="0"/>
              <w:spacing w:before="0" w:after="283"/>
              <w:jc w:val="left"/>
              <w:rPr/>
            </w:pPr>
            <w:r>
              <w:rPr/>
              <w:t>Filed as an exhibit to Form 8-K filed with the Commission on January 20, 2026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(33)</w:t>
            </w:r>
          </w:p>
        </w:tc>
        <w:tc>
          <w:tcPr>
            <w:tcW w:w="9786" w:type="dxa"/>
            <w:tcBorders/>
            <w:vAlign w:val="center"/>
          </w:tcPr>
          <w:p>
            <w:pPr>
              <w:pStyle w:val="TableContents"/>
              <w:bidi w:val="0"/>
              <w:spacing w:before="0" w:after="283"/>
              <w:jc w:val="left"/>
              <w:rPr/>
            </w:pPr>
            <w:r>
              <w:rPr/>
              <w:t>Filed as an exhibit to Form 10-K for the year ended December 31, 2024 filed with the Commission on March 30, 2025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2025 10-K Report to be signed on its behalf by the undersigned, thereunto duly authorized, on March 30, 2026.</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2270"/>
        <w:gridCol w:w="13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THERAPEUTICSMD, INC.</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2025 10-K Report to be signed on its behalf by the undersigned, thereunto duly authorized, on March 30, 2026.</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28" w:type="dxa"/>
          <w:right w:w="0" w:type="dxa"/>
        </w:tblCellMar>
      </w:tblPr>
      <w:tblGrid>
        <w:gridCol w:w="2255"/>
        <w:gridCol w:w="90"/>
        <w:gridCol w:w="3590"/>
      </w:tblGrid>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Tommy G. Thompson</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Tommy G. Thompson</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Cooper C. Collins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 C. Collins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Gail K. Naughton, Ph.D.</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Gail K. Naughton, Ph.D.</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Justin Roberts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Roberts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8210"/>
        <w:gridCol w:w="485"/>
      </w:tblGrid>
      <w:tr>
        <w:trPr/>
        <w:tc>
          <w:tcPr>
            <w:tcW w:w="8210" w:type="dxa"/>
            <w:tcBorders/>
            <w:vAlign w:val="center"/>
          </w:tcPr>
          <w:p>
            <w:pPr>
              <w:pStyle w:val="TableContents"/>
              <w:bidi w:val="0"/>
              <w:spacing w:before="0" w:after="283"/>
              <w:ind w:left="0" w:right="0" w:hanging="180"/>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Page</w:t>
            </w:r>
          </w:p>
        </w:tc>
      </w:tr>
      <w:tr>
        <w:trPr/>
        <w:tc>
          <w:tcPr>
            <w:tcW w:w="8210" w:type="dxa"/>
            <w:tcBorders/>
            <w:shd w:fill="CCEEFF" w:val="clear"/>
            <w:vAlign w:val="center"/>
          </w:tcPr>
          <w:p>
            <w:pPr>
              <w:pStyle w:val="TableContents"/>
              <w:bidi w:val="0"/>
              <w:spacing w:before="0" w:after="283"/>
              <w:jc w:val="left"/>
              <w:rPr/>
            </w:pPr>
            <w:hyperlink w:anchor="a_027">
              <w:r>
                <w:rPr>
                  <w:rStyle w:val="InternetLink"/>
                </w:rPr>
                <w:t>Report of Independent Registered Public Accounting Firm (PCAOB ID Number 213)</w:t>
              </w:r>
            </w:hyperlink>
          </w:p>
        </w:tc>
        <w:tc>
          <w:tcPr>
            <w:tcW w:w="485" w:type="dxa"/>
            <w:tcBorders/>
            <w:shd w:fill="CCEEFF" w:val="clear"/>
            <w:vAlign w:val="center"/>
          </w:tcPr>
          <w:p>
            <w:pPr>
              <w:pStyle w:val="TableContents"/>
              <w:bidi w:val="0"/>
              <w:spacing w:before="0" w:after="283"/>
              <w:ind w:left="0" w:right="0" w:hanging="180"/>
              <w:jc w:val="center"/>
              <w:rPr/>
            </w:pPr>
            <w:r>
              <w:rPr/>
              <w:t>F-2</w:t>
            </w:r>
          </w:p>
        </w:tc>
      </w:tr>
      <w:tr>
        <w:trPr/>
        <w:tc>
          <w:tcPr>
            <w:tcW w:w="8210" w:type="dxa"/>
            <w:tcBorders/>
            <w:vAlign w:val="center"/>
          </w:tcPr>
          <w:p>
            <w:pPr>
              <w:pStyle w:val="TableContents"/>
              <w:bidi w:val="0"/>
              <w:spacing w:before="0" w:after="283"/>
              <w:jc w:val="left"/>
              <w:rPr/>
            </w:pPr>
            <w:hyperlink w:anchor="f_002">
              <w:r>
                <w:rPr>
                  <w:rStyle w:val="InternetLink"/>
                  <w:rFonts w:ascii="Times New Roman;Times;Serif" w:hAnsi="Times New Roman;Times;Serif"/>
                  <w:sz w:val="20"/>
                </w:rPr>
                <w:t>Report of Independent Registered Public Accounting Firm (PCAOB ID Number 52)</w:t>
              </w:r>
            </w:hyperlink>
          </w:p>
        </w:tc>
        <w:tc>
          <w:tcPr>
            <w:tcW w:w="4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8210"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Consolidated Balance Sheets</w:t>
              </w:r>
            </w:hyperlink>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8210" w:type="dxa"/>
            <w:tcBorders/>
            <w:vAlign w:val="center"/>
          </w:tcPr>
          <w:p>
            <w:pPr>
              <w:pStyle w:val="TableContents"/>
              <w:bidi w:val="0"/>
              <w:spacing w:before="0" w:after="283"/>
              <w:jc w:val="left"/>
              <w:rPr/>
            </w:pPr>
            <w:hyperlink w:anchor="a_029">
              <w:r>
                <w:rPr>
                  <w:rStyle w:val="InternetLink"/>
                  <w:rFonts w:ascii="Times New Roman;Times;Serif" w:hAnsi="Times New Roman;Times;Serif"/>
                  <w:sz w:val="20"/>
                </w:rPr>
                <w:t>Consolidated Statements of Operations</w:t>
              </w:r>
            </w:hyperlink>
          </w:p>
        </w:tc>
        <w:tc>
          <w:tcPr>
            <w:tcW w:w="4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8210"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Consolidated Statements of Stockholders’ (Deficit) Equity</w:t>
              </w:r>
            </w:hyperlink>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F-7</w:t>
            </w:r>
          </w:p>
        </w:tc>
      </w:tr>
      <w:tr>
        <w:trPr/>
        <w:tc>
          <w:tcPr>
            <w:tcW w:w="8210" w:type="dxa"/>
            <w:tcBorders/>
            <w:vAlign w:val="center"/>
          </w:tcPr>
          <w:p>
            <w:pPr>
              <w:pStyle w:val="TableContents"/>
              <w:bidi w:val="0"/>
              <w:spacing w:before="0" w:after="283"/>
              <w:jc w:val="left"/>
              <w:rPr/>
            </w:pPr>
            <w:hyperlink w:anchor="a_031">
              <w:r>
                <w:rPr>
                  <w:rStyle w:val="InternetLink"/>
                  <w:rFonts w:ascii="Times New Roman;Times;Serif" w:hAnsi="Times New Roman;Times;Serif"/>
                  <w:sz w:val="20"/>
                </w:rPr>
                <w:t>Consolidated Statements of Cash Flows</w:t>
              </w:r>
            </w:hyperlink>
          </w:p>
        </w:tc>
        <w:tc>
          <w:tcPr>
            <w:tcW w:w="4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F-8</w:t>
            </w:r>
          </w:p>
        </w:tc>
      </w:tr>
      <w:tr>
        <w:trPr/>
        <w:tc>
          <w:tcPr>
            <w:tcW w:w="8210"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Notes to Consolidated Financial Statements</w:t>
              </w:r>
            </w:hyperlink>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TherapeuticsMD, Inc. and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TherapeuticsMD, Inc. and Subsidiaries (the “Company”) as of December 31, 2025, and the related consolidated statement of operations, stockholders’ equity, and cash flows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the Company previously presented sublease income within general and administrative expenses in 2024. In the current year, the Company has revised its presentation to classify sublease income within other income. Accordingly, the prior year presentation has been reclassified to conform to the current year presentation. Except for the effects of the retrospective presentation for this reclassification, we were not engaged to audit, review, or apply any procedures to the financial position of the Company as of December 31, 2024, and the results of its operations and its cash flows for the year then ended. Other than as stated above, we do not express an opinion or any other form of assurance about whether such financial position and the results of its operations and its cash flows as of and for the year ended December 31, 2024, have been fairly stated. Those balances were audited by the predecessor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recent change in operations and negative cash flow position along with other conditions as set forth in Note 1,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Mayne Pharma, LLC Allowance for Rebates, Returns, and Wholesale Distributor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in Note 1 to the consolidated financial statements, the Company determined the acquisition of net working capital by Mayne Pharma, LLC in accordance with the Transaction Agreement. The Transaction Agreement included significant estimates, which are subject to change for a period of up to two years. The Company received financial claims from Mayne Pharma, LLC in the current year related to this agreement for amounts owed under the provisions of the Transaction Agreement related to wholesale distributor fees, returns, rebates of licensed products. The Company does not believe these claims are substantiated and thus, did not record an amount due to the licensee as of December 31, 2025. As disclosed in the consolidated financial statements, the Company has filed a lawsuit against Mayne Pharma, LLC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LLC relating thereto. Mayne Pharma, LLC then filed a lawsuit against the Company seeking damages for breach of contract and fraudulent inducement related to the Transaction Agreement. We identified the estimated allowance for rebates, returns, and wholesale distributor fees as a critical audit matter. This determination was primarily driven by the subjectivity inherent in the estimates, the significant auditor judgment involved, and the level of effort required to evaluate management’s supporting evidence. This includes assessing key assumptions related to allowances for rebates, returns, and wholesale distributor fees, as well as management’s assertion that no additional liabilities will be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performed to address the critical matter included, among others:</w:t>
      </w:r>
    </w:p>
    <w:p>
      <w:pPr>
        <w:pStyle w:val="TextBody"/>
        <w:bidi w:val="0"/>
        <w:spacing w:before="0" w:after="0"/>
        <w:ind w:left="0" w:right="0" w:hanging="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 the letters sent to the licensee in response to financial claims.</w:t>
            </w:r>
          </w:p>
        </w:tc>
      </w:tr>
    </w:tbl>
    <w:p>
      <w:pPr>
        <w:pStyle w:val="TextBody"/>
        <w:bidi w:val="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68"/>
        <w:gridCol w:w="200"/>
        <w:gridCol w:w="6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Review original Transaction Agreement and subsequent amendments.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Review the rebates and returns analysis performed by the Company, assess method utilized, calculation, and conclusion reached for reasonableness.</w:t>
            </w:r>
          </w:p>
        </w:tc>
      </w:tr>
    </w:tbl>
    <w:p>
      <w:pPr>
        <w:pStyle w:val="TextBody"/>
        <w:bidi w:val="0"/>
        <w:jc w:val="left"/>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4069"/>
        <w:gridCol w:w="405"/>
      </w:tblGrid>
      <w:tr>
        <w:trPr/>
        <w:tc>
          <w:tcPr>
            <w:tcW w:w="4474" w:type="dxa"/>
            <w:gridSpan w:val="2"/>
            <w:tcBorders/>
            <w:vAlign w:val="center"/>
          </w:tcPr>
          <w:p>
            <w:pPr>
              <w:pStyle w:val="TableContents"/>
              <w:bidi w:val="0"/>
              <w:spacing w:before="0" w:after="283"/>
              <w:jc w:val="left"/>
              <w:rPr/>
            </w:pPr>
            <w:r>
              <w:rPr/>
              <w:t>/s/ Carr, Riggs &amp; Ingram, L.L.C.</w:t>
            </w:r>
          </w:p>
        </w:tc>
      </w:tr>
      <w:tr>
        <w:trPr/>
        <w:tc>
          <w:tcPr>
            <w:tcW w:w="4069"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r>
      <w:tr>
        <w:trPr/>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served as the Company’s auditor since 2026.</w:t>
            </w:r>
          </w:p>
        </w:tc>
      </w:tr>
      <w:tr>
        <w:trPr/>
        <w:tc>
          <w:tcPr>
            <w:tcW w:w="4069"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r>
      <w:tr>
        <w:trPr/>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Palm Beach Gardens, FL</w:t>
            </w:r>
          </w:p>
        </w:tc>
      </w:tr>
      <w:tr>
        <w:trPr/>
        <w:tc>
          <w:tcPr>
            <w:tcW w:w="4069"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r>
      <w:tr>
        <w:trPr/>
        <w:tc>
          <w:tcPr>
            <w:tcW w:w="4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30, 2026</w:t>
            </w:r>
          </w:p>
        </w:tc>
        <w:tc>
          <w:tcPr>
            <w:tcW w:w="4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f_002"/>
      <w:bookmarkEnd w:id="3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TherapeuticsMD,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00" w:val="clear"/>
        </w:rPr>
      </w:pPr>
      <w:r>
        <w:rPr>
          <w:rFonts w:ascii="Times New Roman;Times;Serif" w:hAnsi="Times New Roman;Times;Serif"/>
          <w:b w:val="false"/>
          <w:i w:val="false"/>
          <w:caps w:val="false"/>
          <w:smallCaps w:val="false"/>
          <w:sz w:val="20"/>
          <w:shd w:fill="FFFF00" w:val="clear"/>
        </w:rPr>
        <w:t>XX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00" w:val="clear"/>
        </w:rPr>
      </w:pPr>
      <w:r>
        <w:rPr>
          <w:rFonts w:ascii="Times New Roman;Times;Serif" w:hAnsi="Times New Roman;Times;Serif"/>
          <w:b w:val="false"/>
          <w:i w:val="false"/>
          <w:caps w:val="false"/>
          <w:smallCaps w:val="false"/>
          <w:sz w:val="20"/>
          <w:shd w:fill="FFFF00" w:val="clear"/>
        </w:rPr>
        <w:t>XXX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28"/>
      <w:bookmarkEnd w:id="31"/>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0"/>
        <w:gridCol w:w="90"/>
        <w:gridCol w:w="170"/>
        <w:gridCol w:w="905"/>
        <w:gridCol w:w="125"/>
        <w:gridCol w:w="90"/>
        <w:gridCol w:w="170"/>
        <w:gridCol w:w="905"/>
        <w:gridCol w:w="170"/>
      </w:tblGrid>
      <w:tr>
        <w:trPr/>
        <w:tc>
          <w:tcPr>
            <w:tcW w:w="7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7,483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5,059</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Royalty receivable, current portion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3,562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Prepaid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3,638</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14,445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12,259</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License rights and other 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4,321</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Right of use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5,293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6,102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Royalty receivable, long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13,713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16,010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130</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37,656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38,822</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258</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2,127</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Current liabilities of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2,667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2,781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5,166</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5,542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Other 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873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744</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10,780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11,452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Commitments and contingencies (Note 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pPr>
            <w:r>
              <w:rPr/>
              <w:t>Common stock, par value $0.001; 32,000 and 32,000 shares authorized, 11,574 and 11,532 issued and outstanding as of December 31,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979,256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979,181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(952,391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(951,822</w:t>
            </w:r>
          </w:p>
        </w:tc>
        <w:tc>
          <w:tcPr>
            <w:tcW w:w="170" w:type="dxa"/>
            <w:tcBorders/>
            <w:shd w:fill="CCEEFF" w:val="clear"/>
            <w:vAlign w:val="center"/>
          </w:tcPr>
          <w:p>
            <w:pPr>
              <w:pStyle w:val="TableContents"/>
              <w:bidi w:val="0"/>
              <w:spacing w:before="0" w:after="283"/>
              <w:jc w:val="left"/>
              <w:rPr/>
            </w:pPr>
            <w:r>
              <w:rPr/>
              <w:t>)</w:t>
            </w:r>
          </w:p>
        </w:tc>
      </w:tr>
      <w:tr>
        <w:trPr/>
        <w:tc>
          <w:tcPr>
            <w:tcW w:w="758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26,876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27,370</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37,656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38,822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29"/>
      <w:bookmarkEnd w:id="32"/>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ind w:left="40" w:right="0" w:hanging="0"/>
        <w:jc w:val="center"/>
        <w:rPr>
          <w:caps w:val="false"/>
          <w:smallCaps w:val="false"/>
        </w:rPr>
      </w:pPr>
      <w:r>
        <w:rPr>
          <w:caps w:val="false"/>
          <w:smallCaps w:val="false"/>
        </w:rPr>
        <w:t> </w:t>
      </w:r>
    </w:p>
    <w:tbl>
      <w:tblPr>
        <w:tblW w:w="8412" w:type="dxa"/>
        <w:jc w:val="left"/>
        <w:tblInd w:w="0" w:type="dxa"/>
        <w:tblLayout w:type="fixed"/>
        <w:tblCellMar>
          <w:top w:w="0" w:type="dxa"/>
          <w:left w:w="0" w:type="dxa"/>
          <w:bottom w:w="0" w:type="dxa"/>
          <w:right w:w="0" w:type="dxa"/>
        </w:tblCellMar>
      </w:tblPr>
      <w:tblGrid>
        <w:gridCol w:w="5525"/>
        <w:gridCol w:w="90"/>
        <w:gridCol w:w="226"/>
        <w:gridCol w:w="945"/>
        <w:gridCol w:w="166"/>
        <w:gridCol w:w="119"/>
        <w:gridCol w:w="226"/>
        <w:gridCol w:w="945"/>
        <w:gridCol w:w="170"/>
      </w:tblGrid>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Revenue, net:</w:t>
            </w:r>
          </w:p>
        </w:tc>
        <w:tc>
          <w:tcPr>
            <w:tcW w:w="9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center"/>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3,022</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1,761</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6,852</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6,096</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Write-off and impairment of patents</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176</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1,268</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Depreciation &amp; amortization</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509</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7,412</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7,873</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(4,390</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Interest income, net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142</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Sublease income</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1,847</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1,352</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Miscellaneous income</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1,748</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2,282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other income</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3,737</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3,769</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(653</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(2,343</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0"/>
              <w:jc w:val="right"/>
              <w:rPr/>
            </w:pPr>
            <w:r>
              <w:rPr/>
              <w:t>—</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(653</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from discontinued operations, net of income taxes</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84</w:t>
            </w:r>
          </w:p>
        </w:tc>
        <w:tc>
          <w:tcPr>
            <w:tcW w:w="1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(569</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(2,181</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(Loss) income per common share, basic:</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(0.06</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(0.20</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Discontinued operations, net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per common share, basic</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(0.19</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(Loss) income per common share, diluted:</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(0.06</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(0.20</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Discontinued operations, net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per common share, diluted</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(0.19</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Weighted average common shares, basic</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11,569</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11,532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Weighted average common shares, diluted</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11,569</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11,532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0"/>
      <w:bookmarkEnd w:id="33"/>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2390"/>
        <w:gridCol w:w="90"/>
        <w:gridCol w:w="90"/>
        <w:gridCol w:w="620"/>
        <w:gridCol w:w="90"/>
        <w:gridCol w:w="90"/>
        <w:gridCol w:w="247"/>
        <w:gridCol w:w="463"/>
        <w:gridCol w:w="90"/>
        <w:gridCol w:w="90"/>
        <w:gridCol w:w="164"/>
        <w:gridCol w:w="771"/>
        <w:gridCol w:w="90"/>
        <w:gridCol w:w="90"/>
        <w:gridCol w:w="186"/>
        <w:gridCol w:w="944"/>
        <w:gridCol w:w="110"/>
        <w:gridCol w:w="90"/>
        <w:gridCol w:w="155"/>
        <w:gridCol w:w="620"/>
        <w:gridCol w:w="155"/>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Additional</w:t>
              <w:br/>
              <w:t>Paid 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15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978,917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(949,641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29,287</w:t>
            </w:r>
          </w:p>
        </w:tc>
        <w:tc>
          <w:tcPr>
            <w:tcW w:w="15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15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979,181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(951,822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27,370</w:t>
            </w:r>
          </w:p>
        </w:tc>
        <w:tc>
          <w:tcPr>
            <w:tcW w:w="15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15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(952,391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26,876</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1"/>
      <w:bookmarkEnd w:id="34"/>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9"/>
        <w:gridCol w:w="90"/>
        <w:gridCol w:w="214"/>
        <w:gridCol w:w="840"/>
        <w:gridCol w:w="157"/>
        <w:gridCol w:w="113"/>
        <w:gridCol w:w="214"/>
        <w:gridCol w:w="840"/>
        <w:gridCol w:w="218"/>
      </w:tblGrid>
      <w:tr>
        <w:trPr/>
        <w:tc>
          <w:tcPr>
            <w:tcW w:w="75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6" w:type="dxa"/>
            <w:gridSpan w:val="7"/>
            <w:tcBorders>
              <w:bottom w:val="single" w:sz="12" w:space="0" w:color="000000"/>
            </w:tcBorders>
            <w:tcMar>
              <w:bottom w:w="28" w:type="dxa"/>
            </w:tcMar>
            <w:vAlign w:val="center"/>
          </w:tcPr>
          <w:p>
            <w:pPr>
              <w:pStyle w:val="TableContents"/>
              <w:bidi w:val="0"/>
              <w:spacing w:before="0" w:after="283"/>
              <w:jc w:val="center"/>
              <w:rPr/>
            </w:pPr>
            <w:r>
              <w:rPr/>
              <w:t>Years ended December 31,</w:t>
            </w:r>
          </w:p>
        </w:tc>
      </w:tr>
      <w:tr>
        <w:trPr/>
        <w:tc>
          <w:tcPr>
            <w:tcW w:w="75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1" w:type="dxa"/>
            <w:gridSpan w:val="3"/>
            <w:tcBorders>
              <w:bottom w:val="single" w:sz="12"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left"/>
              <w:rPr/>
            </w:pPr>
            <w:r>
              <w:rPr/>
              <w:t> </w:t>
            </w:r>
          </w:p>
        </w:tc>
        <w:tc>
          <w:tcPr>
            <w:tcW w:w="1272" w:type="dxa"/>
            <w:gridSpan w:val="3"/>
            <w:tcBorders>
              <w:bottom w:val="single" w:sz="12" w:space="0" w:color="000000"/>
            </w:tcBorders>
            <w:tcMar>
              <w:bottom w:w="28" w:type="dxa"/>
            </w:tcMar>
            <w:vAlign w:val="center"/>
          </w:tcPr>
          <w:p>
            <w:pPr>
              <w:pStyle w:val="TableContents"/>
              <w:bidi w:val="0"/>
              <w:spacing w:before="0" w:after="283"/>
              <w:jc w:val="center"/>
              <w:rPr/>
            </w:pPr>
            <w:r>
              <w:rPr/>
              <w:t>2024</w:t>
            </w:r>
          </w:p>
        </w:tc>
      </w:tr>
      <w:tr>
        <w:trPr/>
        <w:tc>
          <w:tcPr>
            <w:tcW w:w="7519" w:type="dxa"/>
            <w:tcBorders/>
            <w:shd w:fill="CCEEFF" w:val="clear"/>
            <w:vAlign w:val="center"/>
          </w:tcPr>
          <w:p>
            <w:pPr>
              <w:pStyle w:val="TableContents"/>
              <w:bidi w:val="0"/>
              <w:spacing w:before="0" w:after="283"/>
              <w:jc w:val="left"/>
              <w:rPr/>
            </w:pPr>
            <w:r>
              <w:rPr/>
              <w:t>Cash flows from operating activities: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(569</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(2,181</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Less: Income from discontinued operations, net of tax</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84</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131</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loss from continuing operations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(653</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(2,312</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Adjustments to reconcile net loss to net cash provided by continuing operating activities: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384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509</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Write-off and impairment of patents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176</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1,268</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Share-based payment compensation costs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75</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264</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Amortization of right of use assets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809</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771</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Prepaid and other current assets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201</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397</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2,020</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1,930</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119</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231</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272</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(1,006</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(1,078</w:t>
            </w:r>
          </w:p>
        </w:tc>
        <w:tc>
          <w:tcPr>
            <w:tcW w:w="157"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(990</w:t>
            </w:r>
          </w:p>
        </w:tc>
        <w:tc>
          <w:tcPr>
            <w:tcW w:w="218" w:type="dxa"/>
            <w:tcBorders/>
            <w:shd w:fill="CCEEFF" w:val="clear"/>
            <w:vAlign w:val="center"/>
          </w:tcPr>
          <w:p>
            <w:pPr>
              <w:pStyle w:val="TableContents"/>
              <w:bidi w:val="0"/>
              <w:spacing w:before="0" w:after="283"/>
              <w:jc w:val="left"/>
              <w:rPr/>
            </w:pPr>
            <w:r>
              <w:rPr/>
              <w:t>)</w:t>
            </w:r>
          </w:p>
        </w:tc>
      </w:tr>
      <w:tr>
        <w:trPr/>
        <w:tc>
          <w:tcPr>
            <w:tcW w:w="7519"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129</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108</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Total adjustments</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3,107</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3,482</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cash provided by continuing operating activities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2,454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1,170</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(438</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Net cash used in discontinued operations</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57"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(438</w:t>
            </w:r>
          </w:p>
        </w:tc>
        <w:tc>
          <w:tcPr>
            <w:tcW w:w="218" w:type="dxa"/>
            <w:tcBorders/>
            <w:shd w:fill="CCEEFF" w:val="clear"/>
            <w:vAlign w:val="center"/>
          </w:tcPr>
          <w:p>
            <w:pPr>
              <w:pStyle w:val="TableContents"/>
              <w:bidi w:val="0"/>
              <w:spacing w:before="0" w:after="283"/>
              <w:jc w:val="left"/>
              <w:rPr/>
            </w:pPr>
            <w:r>
              <w:rPr/>
              <w:t>)</w:t>
            </w:r>
          </w:p>
        </w:tc>
      </w:tr>
      <w:tr>
        <w:trPr/>
        <w:tc>
          <w:tcPr>
            <w:tcW w:w="7519" w:type="dxa"/>
            <w:tcBorders/>
            <w:vAlign w:val="center"/>
          </w:tcPr>
          <w:p>
            <w:pPr>
              <w:pStyle w:val="TableContents"/>
              <w:bidi w:val="0"/>
              <w:spacing w:before="0" w:after="283"/>
              <w:jc w:val="left"/>
              <w:rPr/>
            </w:pPr>
            <w:r>
              <w:rPr/>
              <w:t>Net increase in cash</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2,424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732</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Cash and cash equivalents - continuing operations, beginning of period</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5,059</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4,327</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Total cash and cash equivalents, end of period</w:t>
            </w:r>
          </w:p>
        </w:tc>
        <w:tc>
          <w:tcPr>
            <w:tcW w:w="90"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w:t>
            </w:r>
          </w:p>
        </w:tc>
        <w:tc>
          <w:tcPr>
            <w:tcW w:w="840" w:type="dxa"/>
            <w:tcBorders>
              <w:bottom w:val="double" w:sz="10" w:space="0" w:color="000000"/>
            </w:tcBorders>
            <w:tcMar>
              <w:bottom w:w="28" w:type="dxa"/>
            </w:tcMar>
            <w:vAlign w:val="center"/>
          </w:tcPr>
          <w:p>
            <w:pPr>
              <w:pStyle w:val="TableContents"/>
              <w:bidi w:val="0"/>
              <w:spacing w:before="0" w:after="283"/>
              <w:jc w:val="right"/>
              <w:rPr/>
            </w:pPr>
            <w:r>
              <w:rPr/>
              <w:t>7,483</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w:t>
            </w:r>
          </w:p>
        </w:tc>
        <w:tc>
          <w:tcPr>
            <w:tcW w:w="840" w:type="dxa"/>
            <w:tcBorders>
              <w:bottom w:val="double" w:sz="10" w:space="0" w:color="000000"/>
            </w:tcBorders>
            <w:tcMar>
              <w:bottom w:w="28" w:type="dxa"/>
            </w:tcMar>
            <w:vAlign w:val="center"/>
          </w:tcPr>
          <w:p>
            <w:pPr>
              <w:pStyle w:val="TableContents"/>
              <w:bidi w:val="0"/>
              <w:spacing w:before="0" w:after="283"/>
              <w:jc w:val="right"/>
              <w:rPr/>
            </w:pPr>
            <w:r>
              <w:rPr/>
              <w:t>5,059</w:t>
            </w:r>
          </w:p>
        </w:tc>
        <w:tc>
          <w:tcPr>
            <w:tcW w:w="21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32"/>
      <w:bookmarkEnd w:id="35"/>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Business, basis of presentation, new accounting standards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Inc. (the “Company”), a Nevada corporation, and its consolidated subsidiaries are referred to collectively in this Annual Report on Form 10-K (“10-K Report”) as “TherapeuticsMD,” “we,” “our” and “us.” This 10-K Report includes trademarks, trade names and service marks, such as TherapeuticsMD®, vitaMedMD®, BocaGreenMD® , IMVEXXY®, and BIJUVA®, which are protected under applicable intellectual property laws and are the property of, or licensed by or to, us. Solely for convenience, trademarks, trade names and service marks referred to in this 10-K Report may appear without the ®, TM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 Additional disclosures regarding discontinued operations are provided in Note 2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 agreements with strategic partners to commercialize IMVEXXY and BIJUVA outside of the U.S.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05"/>
        <w:gridCol w:w="200"/>
        <w:gridCol w:w="9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31, 2022. Severance obligations for all employees other than executive officers were paid in full in January 2023 and severance obligations for terminated executive officers have been paid in accordance with their employment agreements and separation agreements as previously disclosed. As of December 31, 2025 and 2024, we employed one full-time employee primarily engaged in an executive position.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capital to provide additional liquidity to fund our operations.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an additional 877,192 shares of Common Stock at a price per share equal to $2.2761. We received gross proceeds of $2.0 million from the draw-down, before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Company received Mayne Pharma’s calculation of the net working capital allowances for payer rebates and wholesale distributor fees pursuant to the Transaction Agreement, which differed significantly from the Company’s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if the net working capital settlement with Mayne Pharma under the Transaction Agreement is greater than our current estimates,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related notes include our parent company and all wholly owned subsidiaries. The consolidated financial statements are prepared in accordance with accounting principles generally accepted in the United States of America (“U.S. GAAP”). Our fiscal year-end is as of and for the year ended December 31st for each year presented. All intercompany transactions among our businesses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and as a result of the Mayne Transaction, all results associated with former commercial operations have been reflected as discontinued operations in the consolidated financial statements. Assets and liabilities associated with the commercial business are classified as assets and liabilities of discontinued operations in the consolidated balance sheets. Additional disclosures regarding discontinued operations are provided in Note 2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notes to the consolidated financial statements may not add due to rounding. Certain prior period amounts have been reclassified to conform to current-period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New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 – Adopted During the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2025, we have adopted the FASB issued ASU No. 2023-09, “Income Taxes (Topic 740) - Improvements to Income Tax Disclosures.” ASU No. 2023-09 enhances the transparency and decision usefulness of income tax disclosures by requiring consistent categories and greater disaggregation of information in the rate reconciliation and income taxes paid disaggregated by jurisdiction. The Company adopted this accounting standard update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(“ASU”) No. 2025-05, “Financial Instruments-Credit Losses (Topic 326): Measurement of Credit Losses for Accounts Receivable and Contract Assets,” which provides a practical expedient related to the estimation of expected credit losses for accounts receivable and current contract assets that arise from transactions accounted for under Accounting Standards Codification (“ASC”) 606, “Revenue Recognition.” ASU No. 2025-05 requires an entity to disclose whether it has elected to use the practical expedient. An entity that makes the accounting policy election is required to disclose the date through which subsequent cash collections are evaluated. The requirements of ASU No. 2025-05 are effective for annual periods beginning after December 15, 2025, and interim periods beginning in the first quarter of 2026. Early adoption is permitted in both interim and annual reporting periods in which financial statements have not yet been issued or made available for issuance. The Company does not expect a material change as a result of ASU No. 2025-05.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and in January 2025, the FASB issued ASU No. 2025-01, “Income Statement - Reporting Comprehensive Income - Expense Disaggregation Disclosures (Subtopic 220-40): Clarifying the Effective Date.” ASU No. 2024-03 requires additional income statement disclosures, including the disaggregation of specific categories of expenses underlying the line items presented on the income statement. Additionally, ASU No. 2024-03 requires enhanced disclosure of selling expenses. As clarified by ASU No. 2025-01, the requirements of the guidance are effective for annual periods beginning after December 15, 2026, and interim periods within fiscal years beginning after December 15, 2027. For the Company, annual reporting requirements under ASU No. 2024-03 will be effective for its Annual Report on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evaluating the impact of this pronouncement on its consolidated financial statements and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Narrow-Scope Improvements.” ASU No. 2025-11 has three primary objectives: to specify the form and content choices for interim financial statements and accompanying notes; to incorporate a comprehensive list of required interim disclosures; and to introduce a disclosure principle requiring entities to disclose events since the end of the previous annual reporting period that have a material impact on the entity. The amendments are not intended to change the fundamental nature of interim reporting or expand or reduce current interim disclosure requirements. The requirements of ASU No. 2025-11 are effective for public business entities for interim reporting periods within annual reporting periods beginning after December 15, 2027. Early adoption is permitted. The amendments may be applied either prospectively or retrospectively. For the Company, the requirements of ASU No. 2025-11 will be effective beginning in the first quarter of 2028. The Company does not expect a material change as a result of ASU No. 2025-11.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comprise activities that were disposed of at the end of the period, represent a separate major line of business that can be clearly distinguished for operational and financial reporting purposes and represent a business shift having a major effect on the Company’s operations and financial results according to Accounting Standards Codification (“ASC”) Topic 205, Presentation of Financial Statements. In 2022, we started classifying commercial activities as discontinued operations due to the cessation of these operations. No amounts for shared general and administrative operating support expense were allocated to discontinued operations. As required by the terms of the Financing Agreement, dated as of April 24, 2019, as amended, with Sixth Street Specialty Lending, Inc., as administrative agent, the various lenders from time-to-time party thereto, and certain of our subsidiaries party thereto from time to time as guarantors, the proceeds from both transactions were used to fully repay our outstanding debt borrowings. As a result, interest expense and amortization of deferred financing costs as well as expense for accretion of Series A Preferred Stock and loss on extinguishment of debt are included within income (loss) from discontinued operations, net of tax. Additionally, the related assets and liabilities have been reported as assets and liabilities of discontinued operations in the Company’s consolidated balance sheets as of December 31, 2025 and 2024. For additional information, see Note 2.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We evaluate our estimated assumptions based on historical experience and on various other assumptions that are believed to be reasonable, the results of which form the basis for making judgments about the carrying values of assets and liabilities that are not readily apparent from other sources. Actual results may differ, at times in material amounts,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consolidated statements of cash flows, short-term, highly liquid investments that are readily convertible to known amounts of cash and so near their maturity that they present insignificant risk of changes in value because of changes in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cash at financial institutions that at times may exceed the Federal Deposit Insurance Corporation (“FDIC”) insured limits of $250 thousand per bank. We have never experienced any losses related to these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05"/>
        <w:gridCol w:w="200"/>
        <w:gridCol w:w="72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1 - Quoted prices (unadjusted)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2 - Quoted prices in non-active markets or in active markets for similar assets or liabilities, observable inputs other than quoted prices; and inputs that are not directly observable but are corroborated by observable market data.</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3 - Inputs that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our cash, cash equivalents, accounts receivable, accounts payable and accrued expenses approximate their fair value because of the short-term maturity of such instruments, which are considered Level 1 under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License rights and other intangibles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license rights and other intangible assets at cost, which includes external costs, consisting primary of legal costs, incurred in securing our patents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such as patents, are amortized over the useful life of the patent using the straight-line method. If the patent is not successfully granted, we write off any capitalized patent costs at that time. Intangible assets not subject to amortization, such as trademarks, are perpetual and have indefinite lives.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license rights and other intangible assets subject to amortization on a periodic basis to determine whether events and circumstances would indicate impairment or warrant a revision to their remaining useful lives. We assess other intangible assets not subject to amortization for potential impairment semi-annually during the second and fourth quarter of each year, or more frequently if events occur or circumstances change that would more likely than not reduce the fair value of the intangible assets below their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and operate as one business, which prior to December 2022 was focused on creating and commercializing products targeted exclusively for women and after we signed Mayne License Agreement, is focused on collecting royalties from licensing our products. Our business is led by our chief executive officer, who is our Chief Operating Decision Maker (“CODM”). We do not operate separate lines of business with respect to any of our products, and we do not prepare discrete financial information with respect to separate products. Accordingly, we view our business as one reportable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the amount of revenue to be recognized through application of the following steps:</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5"/>
        <w:gridCol w:w="200"/>
        <w:gridCol w:w="3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of the contract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05"/>
        <w:gridCol w:w="200"/>
        <w:gridCol w:w="3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105"/>
        <w:gridCol w:w="200"/>
        <w:gridCol w:w="70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of the transaction price to the performance obligations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05"/>
        <w:gridCol w:w="200"/>
        <w:gridCol w:w="61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revenue when or as we satisfy the performance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product or service to a customer. A good or service is considered to be transferred when the customer receives the goods or service or obtains control, and we treat shipping as a fulfillment activity rather than as a separate obligation. We generally recognize revenue at a point in time when all of our performance obligations under the terms of a contract are satisfied. Revenue is recognized upon transfer of control of promised products or services in an amount that reflects the consideration we expect to receive in exchange for those products or services. The collectability of consideration on the contract is reasonably assured before revenue is recognized. To the extent that customer payment has been received before all recognition criteria are met, these revenues are initially deferred in other accruals on the balance sheet and the revenue is recognized in the period that all recognition criteria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from Contracts with Customers, a royalty receivable is recorded when the underlying sales or usage has occurred and the company has an unconditional right to payment (i.e., only the passage of time is required). It is measured at the amount expected to be collected, subject to an allowance for expected credit losses under ASC 326 Current Expected Credit Losses, and is included in Royalty receivable, current portion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arrangements may consist of non-refundable upfront license fees, exclusive licensed rights to patented or patent pending technology, and various performance or sales milestones and future product royalty payments. Some of these arrangements may include multiple performance obligations. Non-refundable up-front fees that are not contingent on any future performance by us, and do not require continuing involvement on our part, are recognized as revenue when the right to use functional intellectual property is transferred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our prescription products and assigning the Company’s exclusive license to commercialize ANNOVERA to Mayne Pharma, which resulted in a business shift that had a major effect on our operations and financial results. As part of the transformation that included the Mayne License Agreement, all results associated with former commercial operations have been reflected as discontinued operations in the Company’s consolidated financial statements for all periods prior to the Closing Date. Since December 31, 2022, we are no longer directly engaged in the sale of prescription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Mayne License Agreement, we received $140 million at closing and we are eligible to receive additional payments in the aggregate of up to an additional $30 million, based on the achievement of sales milestones (collectively, the “Milestone Amounts”). The proceeds at closing were allocated between consideration for the sale of ANNOVERA and the initial license fee for the Licensed Products, as the sale of ANNOVERA was accounted for under ASC 610-20, Gains and Losses from Derecognition of Nonfinancial Assets in arriving at the gain on disposal (see Note 2), while the license grant of the other products were recognized under the provisions of ASC 606, Revenue from Contracts with Customers, as a license of functional intellectual property. The proceeds were allocated among the Licensed Products on the relative net present value of forecasted future product sales from those products. The Milestone Amounts will be recognized, as applicable, in subsequent periods based on actual product sales that exceed the respective net sales milestones as such variable consideration is constrained by the occurrence of the subsequent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royalty revenue in 2025 and 2024 primarily related to royalties provided for under the Mayne License Agreement based on Mayne Pharma’s sales of the licensed products subject to that agreement. Under the Mayne License Agreement, the Company is entitled to earn royalties on net sales of all of the Licensed Products at a royalty rate of (i) 8% on the first $80 million of net sales of the Licensed Products and (ii) 7.5% on net sales of all of the Licensed Products after the first $80 million of net sales. The royalty rate is subject to a 2% reduction upon the earlier to occur of (i) the expiration or revocation of the last valid claim covering a Licensed Product, and (ii) a generic product launch (a “LOE”). We are entitled to minimum annual royalties beginning with the year ending December 31, 2023 ($3 million annual minimum) and continuing with 3% annual increases through the year ending December 31, 2034 (the “Minimum Annual Royalty”). The total Minimum Annual Royalty we are entitled to is $42.6 million, and this total amount was allocated among the Licensed Products on the relative net present value of forecasted future product sales from those products. The portion allocated to consideration for the sale of ANNOVERA was attributed towards the gain on disposal of that asset. For the remaining portion allocated to the license grants for the other products, we determined that the minimum guarantee underlying the Minimum Annual Royalty should be treated as fixed consideration and recognized under ASC 606 at the point in time when the license was transferred. Since the Minimum Annual Royalty will be received in annual installments through 2034, we determined the transaction price allocated under ASC 606 contained a significant financing component, and we therefore determined the initial royalty revenue and corresponding receivable based on the present value of the allocated Minimum Annual Royalty. The present value was calculated using a discount rate of 10.45%, based on the credit characteristics of Mayne Pharma and the timing of future payments, and the value will be accreted to full value through the earlier of January 1, 2034, or a LOE. This royalty receivable is a contract asset as of December 31, 2025 and 2024, and is further subject to offset by Mayne Pharma (see J. Contract Assets and Liabilities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revenue earned in excess of the Minimum Annual Royalty will be recognized under ASC 606, which provides revenue recognition constraints by requiring the recognition of revenue at the later of the following: 1) when the subsequent sale occurs or 2) when the performance obligation to which some or all of the sales-based royalty has been allocated has been satisfied (or partially satisfied). We applied the royalty recognition constraint required under the guidance for sales-based royalties, which requires a sales-based royalty to be recorded no sooner than the underlying sale. Therefore, royalties on sales of products commercialized by Mayne Pharma will be recognized in the subsequent periods that the Licensed Products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recorded BIJUVA license sales of $632 thousand made through the Theramex License Agreement, BIJUVA and IMVEXXY license sales of $598 thousand through the Knight License Agreement and $1,791 thousand pertaining to our licensed products with Mayne Pharma, which was recognized as license revenue. Additionally, we recognized $1,291 thousand in other income pertaining to royalty sales of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recorded BIJUVA license sales of $443 thousand made through the Theramex License Agreement, BIJUVA and IMVEXXY license sales of $195 thousand through the Knight License Agreement and $1,123 thousand pertaining to our licensed products with Mayne Pharma, which was recognized as license revenue. Additionally, we recognized $1,083 thousand in other income pertaining to royalty sales of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Contract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totaling $17,238 thousand and $19,572 thousand as of December 31, 2025 and 2024, respectively, include royalties recognized from the Minimum Annual Royalty (see I. Revenue Recognition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Share-based payment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in accordance with ASC 718 Stock Compensation US GAAP. Compensation expense is recognized over the requisite service period based on the grant-date fair value of the awards. The fair value of stock options and warrants is estimated on the grant date using the Black-Scholes option pricing model, which requires the use of certain assumptions, including expected volatility, expected term, risk-free interest rate, and expected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of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at our combined 2022 and 2023 Annual Meeting, our stockholders approved an amendment to our Amended and Restated Articles of Incorporation to increase the number of authorized shares of Common Stock from 12 million shares to 32 million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Company’s stockholders approved an amendment to the Company’s Amended and Restated Articles of Incorporation to increase the number of authorized shares of Common Stock from 32 million shares to 640 million shares. The Certificate of Amendment was filed with the Secretary of State of Nevada on January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carrying value of our deferred tax assets, after recording the valuation allowance on our deferred tax assets, is based on our present belief that it is more likely than not that we will be able to generate sufficient future taxable income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recognize both interest and penalties related to uncertain tax positions as part of the income tax provision. 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Earnings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or loss per common share is computed by dividing net income or loss available to common stockholders by the sum of the weighted average number of shares of common stock. Diluted earnings per common share is computed by dividing net income available to common stockholders by the sum of the weighted average number of shares of common stock and the number of additional shares of common stock that would have been outstanding if our outstanding potentially dilutive securities had been issued. Potentially dilutive securities include awards of non-vested or vested and not settled restricted stock units, performance stock units where the performance requirements have been met and not settled, warrants and options. The dilutive effect of potentially dilutive securities is reflected in diluted earnings per common share by application of the treasury stock method, except if its impact is anti-dilutive. Under the treasury stock method, an increase in the fair market value of our common stock can result in a greater dilutive effect from potentially dilutive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if an arrangement is a lease at inception. Determining whether a contract contains a lease includes judgment regarding whether the contract conveys the right to control the use of identified property or equipment for a period of time in exchange for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lease-related assets and liabilities based on their classification as operating leases or finance leases, following the relevant accounting guidance. For all the lessee arrangements,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short-term leases (leases with an original lease term less than one year) from the measurement of lease-related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 right-of-use assets in an operating or finance lease at the asset group level (because these assets are long-lived nonfinancial assets and should be accounted for the same way as other long-lived nonfinancial assets) whenever events or changes in circumstances indicate that the carrying amount of an asset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sublease our unoccupied facilities to third parties. Any impairment to the associated right-of-use asset, leasehold improvements, or other assets as a result of the sublease is recognized in the period when a decision to sublease is made and recorded in our consolidated statements of operations. We recognize sublease income on a straight-line basis over the sublease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continuing operation amounts have been revised due to an immaterial error in prior year presentation. Prior to 2025, sublease income of $1,352 thousand was presented with general administrative expenses on the consolidated statements of operations. Beginning in 2025, the Company presented sublease income as a component of Other Income (expense) on the Consolidated Statements of Operations to better reflect the nature of the income. Accordingly, prior period amounts for the year ended December 31, 2024, have been reclassified to conform with current year presentation. This revision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Loss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 When a loss is reasonably possible (the chance of the future event or events occurring is more than remote but less than likely), no accrual is recognized. See Note 7 for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Revisions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continuing operation amounts have been revised due to an immaterial error in prior year presentation. Prior to 2025, sublease income of $1,352 thousand was presented with general administrative expenses on the consolidated statements of operations. Beginning in 2025, the Company presented sublease income as a component of Other Income (expense) on the Consolidated Statements of Operations to better reflect the nature of the income. Accordingly, prior period amounts for the year ended December 31, 2024, have been reclassified to conform with current year presentation. This revision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continuing operation amounts have been reclassified to conform with current period presentation. Interest Income and Interest Expense were historically presented within Miscellaneous Income and beginning this year, are separately presented as a component of Other Income (expense). Accordingly, prior period amounts for the year ended December 31, 2024, have been reclassified to conform with current year presentation. These reclassifications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the Consolidated Statement of Cash Flows, we have separately presented changes in operating lease liabilities beginning in 2025 and have reclassified amounts pertaining to amortization of right-of-use assets within net cash provided by continuing operating activities. Accordingly, prior period amounts for the year ended December 31, 2024, have been reclassified to conform with current year presentation and had no effect on previously reported net cash provided by continuing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within the footnotes to the Consolidated Financial Statements, Note 3. Prepaid and other current assets and Note 5. Accrued expenses and other current liabilities, have been reclassified for presentation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we changed our business in 2022 by licensing our products to receive royalties and future sales related milestone payments, after granting an exclusive license to commercialize our IMVEXXY, BIJUVA, and prescription prenatal vitamin products sold under the BocaGreenMD and vitaMedMD brands in the United States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represented a strategic shift having a major effect on our operations and financial results. Upon our conversion from a commercial pharmaceutical company to a licensing only company with the consummation of the Mayne Transaction, we classified all direct revenues, costs and expenses related to commercial operations, within income (loss) from discontinued operations, net of tax, in the consolidated statements of operations for all periods presented. We have not allocated any amounts for shared general and administrative operating support expense to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related assets and liabilities have been reported as assets and liabilities of discontinued operations in our consolidated balance sheets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the acquisition of net working capital by Mayne Pharma was determined in accordance with the Transaction Agreement and included significant estimates which could change materially for a period of up to two years following the Closing Date. Our estimate of net working capital at closing was determined in accordance with the Transaction Agreement which establishes the process for the determination of final net working capital. Refer to Note 7 for a further discussion of net working capital contingencies.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results of discontinued operations (in thousands):</w:t>
      </w:r>
    </w:p>
    <w:p>
      <w:pPr>
        <w:pStyle w:val="TextBody"/>
        <w:bidi w:val="0"/>
        <w:spacing w:before="0" w:after="0"/>
        <w:ind w:left="8" w:right="0" w:hanging="0"/>
        <w:jc w:val="left"/>
        <w:rPr>
          <w:caps w:val="false"/>
          <w:smallCaps w:val="false"/>
        </w:rPr>
      </w:pPr>
      <w:r>
        <w:rPr>
          <w:caps w:val="false"/>
          <w:smallCaps w:val="false"/>
        </w:rPr>
        <w:t> </w:t>
      </w:r>
    </w:p>
    <w:tbl>
      <w:tblPr>
        <w:tblW w:w="7124" w:type="dxa"/>
        <w:jc w:val="left"/>
        <w:tblInd w:w="0" w:type="dxa"/>
        <w:tblLayout w:type="fixed"/>
        <w:tblCellMar>
          <w:top w:w="0" w:type="dxa"/>
          <w:left w:w="0" w:type="dxa"/>
          <w:bottom w:w="0" w:type="dxa"/>
          <w:right w:w="0" w:type="dxa"/>
        </w:tblCellMar>
      </w:tblPr>
      <w:tblGrid>
        <w:gridCol w:w="4235"/>
        <w:gridCol w:w="90"/>
        <w:gridCol w:w="325"/>
        <w:gridCol w:w="784"/>
        <w:gridCol w:w="239"/>
        <w:gridCol w:w="172"/>
        <w:gridCol w:w="325"/>
        <w:gridCol w:w="784"/>
        <w:gridCol w:w="170"/>
      </w:tblGrid>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9"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23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9" w:type="dxa"/>
            <w:gridSpan w:val="2"/>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23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Operating loss from discontinued operations</w:t>
            </w:r>
          </w:p>
        </w:tc>
        <w:tc>
          <w:tcPr>
            <w:tcW w:w="90"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(26</w:t>
            </w:r>
          </w:p>
        </w:tc>
        <w:tc>
          <w:tcPr>
            <w:tcW w:w="23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left"/>
              <w:rPr/>
            </w:pPr>
            <w:r>
              <w:rPr/>
              <w:t>Gain on disposal of assets</w:t>
            </w:r>
          </w:p>
        </w:tc>
        <w:tc>
          <w:tcPr>
            <w:tcW w:w="9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110</w:t>
            </w:r>
          </w:p>
        </w:tc>
        <w:tc>
          <w:tcPr>
            <w:tcW w:w="23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0"/>
              <w:jc w:val="right"/>
              <w:rPr/>
            </w:pPr>
            <w:r>
              <w:rPr/>
              <w:t>—</w:t>
            </w:r>
          </w:p>
        </w:tc>
        <w:tc>
          <w:tcPr>
            <w:tcW w:w="23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195</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23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195</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Net income from discontinued operations</w:t>
            </w:r>
          </w:p>
        </w:tc>
        <w:tc>
          <w:tcPr>
            <w:tcW w:w="90"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784" w:type="dxa"/>
            <w:tcBorders>
              <w:bottom w:val="double" w:sz="10" w:space="0" w:color="000000"/>
            </w:tcBorders>
            <w:tcMar>
              <w:bottom w:w="28" w:type="dxa"/>
            </w:tcMar>
            <w:vAlign w:val="center"/>
          </w:tcPr>
          <w:p>
            <w:pPr>
              <w:pStyle w:val="TableContents"/>
              <w:bidi w:val="0"/>
              <w:spacing w:before="0" w:after="283"/>
              <w:jc w:val="right"/>
              <w:rPr/>
            </w:pPr>
            <w:r>
              <w:rPr/>
              <w:t>84</w:t>
            </w:r>
          </w:p>
        </w:tc>
        <w:tc>
          <w:tcPr>
            <w:tcW w:w="2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784" w:type="dxa"/>
            <w:tcBorders>
              <w:bottom w:val="double" w:sz="10" w:space="0" w:color="000000"/>
            </w:tcBorders>
            <w:tcMar>
              <w:bottom w:w="28" w:type="dxa"/>
            </w:tcMar>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8"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amounts of the classes of liabilities of discontinued operations (in thousands):</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4355"/>
        <w:gridCol w:w="90"/>
        <w:gridCol w:w="197"/>
        <w:gridCol w:w="683"/>
        <w:gridCol w:w="104"/>
        <w:gridCol w:w="104"/>
        <w:gridCol w:w="197"/>
        <w:gridCol w:w="683"/>
        <w:gridCol w:w="135"/>
      </w:tblGrid>
      <w:tr>
        <w:trPr/>
        <w:tc>
          <w:tcPr>
            <w:tcW w:w="4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2,667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2,781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and other current assets</w:t>
      </w:r>
    </w:p>
    <w:p>
      <w:pPr>
        <w:pStyle w:val="TextBody"/>
        <w:bidi w:val="0"/>
        <w:spacing w:before="0" w:after="0"/>
        <w:ind w:left="21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prepaid and other current assets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3590"/>
        <w:gridCol w:w="90"/>
        <w:gridCol w:w="170"/>
        <w:gridCol w:w="590"/>
        <w:gridCol w:w="90"/>
        <w:gridCol w:w="90"/>
        <w:gridCol w:w="170"/>
        <w:gridCol w:w="590"/>
        <w:gridCol w:w="135"/>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3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70</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Capitalized legal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2,334</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Rent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539</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695</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 prepaid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3,638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Licensed rights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information about our license rights and other intangible assets, net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0"/>
        <w:gridCol w:w="90"/>
        <w:gridCol w:w="199"/>
        <w:gridCol w:w="691"/>
        <w:gridCol w:w="90"/>
        <w:gridCol w:w="90"/>
        <w:gridCol w:w="293"/>
        <w:gridCol w:w="1017"/>
        <w:gridCol w:w="90"/>
        <w:gridCol w:w="90"/>
        <w:gridCol w:w="170"/>
        <w:gridCol w:w="590"/>
        <w:gridCol w:w="90"/>
        <w:gridCol w:w="90"/>
        <w:gridCol w:w="199"/>
        <w:gridCol w:w="691"/>
        <w:gridCol w:w="90"/>
        <w:gridCol w:w="90"/>
        <w:gridCol w:w="293"/>
        <w:gridCol w:w="1017"/>
        <w:gridCol w:w="90"/>
        <w:gridCol w:w="90"/>
        <w:gridCol w:w="170"/>
        <w:gridCol w:w="590"/>
        <w:gridCol w:w="135"/>
      </w:tblGrid>
      <w:tr>
        <w:trPr/>
        <w:tc>
          <w:tcPr>
            <w:tcW w:w="31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320" w:type="dxa"/>
            <w:gridSpan w:val="10"/>
            <w:tcBorders>
              <w:bottom w:val="single" w:sz="12" w:space="0" w:color="000000"/>
            </w:tcBorders>
            <w:tcMar>
              <w:bottom w:w="28" w:type="dxa"/>
            </w:tcMar>
            <w:vAlign w:val="center"/>
          </w:tcPr>
          <w:p>
            <w:pPr>
              <w:pStyle w:val="TableContents"/>
              <w:bidi w:val="0"/>
              <w:spacing w:before="0" w:after="283"/>
              <w:jc w:val="center"/>
              <w:rPr/>
            </w:pPr>
            <w:r>
              <w:rPr/>
              <w:t>As of 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0" w:type="dxa"/>
            <w:gridSpan w:val="10"/>
            <w:tcBorders>
              <w:bottom w:val="single" w:sz="12" w:space="0" w:color="000000"/>
            </w:tcBorders>
            <w:tcMar>
              <w:bottom w:w="28" w:type="dxa"/>
            </w:tcMar>
            <w:vAlign w:val="center"/>
          </w:tcPr>
          <w:p>
            <w:pPr>
              <w:pStyle w:val="TableContents"/>
              <w:bidi w:val="0"/>
              <w:spacing w:before="0" w:after="283"/>
              <w:jc w:val="center"/>
              <w:rPr/>
            </w:pPr>
            <w:r>
              <w:rPr/>
              <w:t>As of December 31, 2024</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Intangible assets subject to amortization:</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shd w:fill="CCEEFF" w:val="clear"/>
            <w:vAlign w:val="center"/>
          </w:tcPr>
          <w:p>
            <w:pPr>
              <w:pStyle w:val="TableContents"/>
              <w:bidi w:val="0"/>
              <w:spacing w:before="0" w:after="283"/>
              <w:jc w:val="left"/>
              <w:rPr/>
            </w:pPr>
            <w:r>
              <w:rPr/>
              <w:t>Hormone therapy drug patents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2,423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5,766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2,058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3,708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Hormone therapy drug patents applied and pending approval</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304</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shd w:fill="CCEEFF" w:val="clear"/>
            <w:vAlign w:val="center"/>
          </w:tcPr>
          <w:p>
            <w:pPr>
              <w:pStyle w:val="TableContents"/>
              <w:bidi w:val="0"/>
              <w:spacing w:before="0" w:after="283"/>
              <w:jc w:val="left"/>
              <w:rPr/>
            </w:pPr>
            <w:r>
              <w:rPr/>
              <w:t>Intangible assets subject to amortization</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5,875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2,423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6,070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4,012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Intangible assets not subject to amortization:</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shd w:fill="CCEEFF" w:val="clear"/>
            <w:vAlign w:val="center"/>
          </w:tcPr>
          <w:p>
            <w:pPr>
              <w:pStyle w:val="TableContents"/>
              <w:bidi w:val="0"/>
              <w:spacing w:before="0" w:after="283"/>
              <w:jc w:val="left"/>
              <w:rPr/>
            </w:pPr>
            <w:r>
              <w:rPr/>
              <w:t>Trademarks/trade name rights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6,184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2,423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3,761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6,379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2,058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4,321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 continuing operations, amortization expense related to patents of $384 thousand for 2025 and $509 thousand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regular reviews of the individual patents and portfolios. During the year ended December 31, 2025, we recorded $176 thousand in write-off of patents pending approval as result of our review. We recognized an impairment loss of $1,268 thousand related to those abandoned patents and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subject to amortization are expected to be amortized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3615" w:type="dxa"/>
        <w:jc w:val="left"/>
        <w:tblInd w:w="0" w:type="dxa"/>
        <w:tblLayout w:type="fixed"/>
        <w:tblCellMar>
          <w:top w:w="0" w:type="dxa"/>
          <w:left w:w="0" w:type="dxa"/>
          <w:bottom w:w="28" w:type="dxa"/>
          <w:right w:w="0" w:type="dxa"/>
        </w:tblCellMar>
      </w:tblPr>
      <w:tblGrid>
        <w:gridCol w:w="2630"/>
        <w:gridCol w:w="90"/>
        <w:gridCol w:w="170"/>
        <w:gridCol w:w="590"/>
        <w:gridCol w:w="135"/>
      </w:tblGrid>
      <w:tr>
        <w:trPr/>
        <w:tc>
          <w:tcPr>
            <w:tcW w:w="2630" w:type="dxa"/>
            <w:tcBorders>
              <w:bottom w:val="single" w:sz="12" w:space="0" w:color="000000"/>
            </w:tcBorders>
            <w:vAlign w:val="center"/>
          </w:tcPr>
          <w:p>
            <w:pPr>
              <w:pStyle w:val="TableContents"/>
              <w:bidi w:val="0"/>
              <w:spacing w:before="0" w:after="283"/>
              <w:jc w:val="left"/>
              <w:rPr/>
            </w:pPr>
            <w:r>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380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380</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380</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1,372</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590" w:type="dxa"/>
            <w:tcBorders>
              <w:bottom w:val="double" w:sz="10" w:space="0" w:color="000000"/>
            </w:tcBorders>
            <w:shd w:fill="CCEEFF" w:val="clear"/>
            <w:vAlign w:val="center"/>
          </w:tcPr>
          <w:p>
            <w:pPr>
              <w:pStyle w:val="TableContents"/>
              <w:bidi w:val="0"/>
              <w:spacing w:before="0" w:after="283"/>
              <w:jc w:val="right"/>
              <w:rPr/>
            </w:pPr>
            <w:r>
              <w:rPr/>
              <w:t>3,272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 and other current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4355"/>
        <w:gridCol w:w="90"/>
        <w:gridCol w:w="197"/>
        <w:gridCol w:w="683"/>
        <w:gridCol w:w="104"/>
        <w:gridCol w:w="104"/>
        <w:gridCol w:w="197"/>
        <w:gridCol w:w="683"/>
        <w:gridCol w:w="135"/>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Payroll and related costs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310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92</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Professional fees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265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288</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975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1,633</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Other accrued expenses and current liabilities</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191</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114</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1,741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2,127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no advertising costs in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Interest and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$150 thousand for the year ended 2025, compared to $145 thousand for the year ended 2024. Interest expense and other financing costs were $8 thousand in 2025, compared to $10 thousand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2018, we entered into a lease for executive, administrative, operations and sales offices in Boca Raton, Florida. The lease includes 62,748 rentable square feet, or the full premises, of which the lease on 7,561 square feet commenced in 2018 and the lease on 48,651 square feet commenced in August 2019, or the full premises commencement date. In June 2019, we entered into an agreement with the same lessors to lease additional 6,536 square feet of administrative office space in the same location, pursuant to an addendum to such lease, which commenced in May 2020. The lease will expire 11 years after the full premises commencement date, unless terminated earlier in accordance with the terms of the lease. We have the option to extend the term of the lease for two additional consecutive periods of five years. The extension option is not included in the determination of the lease term as it is not reasonably certain to be exercised. The term of the lease includes escalating rent and free rent periods. We are also responsible for certain other operating costs under the lease, including electricity and utility expenses. As a result of shifting our business to become a license company and terminating our employees, we have sublet all of our headquarters. We anticipate that sublease income will approximate the amounts due under our existing leases, therefore no impairment of the right of use asset was recorded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and 2024, operating lease expense (including all variable costs) related to our real estate leases was $2,310 thousand and $2,271 thousand, respectively. We subleased all our space in 2025. Sublease rental income was $1,847 thousand and $1,352 thousand for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remaining lease payments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28" w:type="dxa"/>
          <w:right w:w="0" w:type="dxa"/>
        </w:tblCellMar>
      </w:tblPr>
      <w:tblGrid>
        <w:gridCol w:w="3365"/>
        <w:gridCol w:w="90"/>
        <w:gridCol w:w="170"/>
        <w:gridCol w:w="665"/>
        <w:gridCol w:w="170"/>
      </w:tblGrid>
      <w:tr>
        <w:trPr/>
        <w:tc>
          <w:tcPr>
            <w:tcW w:w="3365" w:type="dxa"/>
            <w:tcBorders>
              <w:bottom w:val="single" w:sz="12" w:space="0" w:color="000000"/>
            </w:tcBorders>
            <w:vAlign w:val="center"/>
          </w:tcPr>
          <w:p>
            <w:pPr>
              <w:pStyle w:val="TableContents"/>
              <w:bidi w:val="0"/>
              <w:spacing w:before="0" w:after="283"/>
              <w:jc w:val="left"/>
              <w:rPr/>
            </w:pPr>
            <w:r>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835"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jc w:val="right"/>
              <w:rPr/>
            </w:pPr>
            <w:r>
              <w:rPr/>
              <w:t>1,423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1,590</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1,630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1,671</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992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Total undiscounted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7,306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Less: imputed interest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pPr>
            <w:r>
              <w:rPr/>
              <w:t>(1,209</w:t>
            </w:r>
          </w:p>
        </w:tc>
        <w:tc>
          <w:tcPr>
            <w:tcW w:w="170" w:type="dxa"/>
            <w:tcBorders/>
            <w:tcMar>
              <w:bottom w:w="0" w:type="dxa"/>
            </w:tcMar>
            <w:vAlign w:val="center"/>
          </w:tcPr>
          <w:p>
            <w:pPr>
              <w:pStyle w:val="TableContents"/>
              <w:bidi w:val="0"/>
              <w:spacing w:before="0" w:after="283"/>
              <w:jc w:val="left"/>
              <w:rPr/>
            </w:pPr>
            <w:r>
              <w:rPr/>
              <w:t>)</w:t>
            </w:r>
          </w:p>
        </w:tc>
      </w:tr>
      <w:tr>
        <w:trPr/>
        <w:tc>
          <w:tcPr>
            <w:tcW w:w="3365" w:type="dxa"/>
            <w:tcBorders/>
            <w:shd w:fill="CCEEFF" w:val="clear"/>
            <w:tcMar>
              <w:bottom w:w="0" w:type="dxa"/>
            </w:tcMar>
            <w:vAlign w:val="center"/>
          </w:tcPr>
          <w:p>
            <w:pPr>
              <w:pStyle w:val="TableContents"/>
              <w:bidi w:val="0"/>
              <w:spacing w:before="0" w:after="283"/>
              <w:jc w:val="left"/>
              <w:rPr/>
            </w:pPr>
            <w:r>
              <w:rPr/>
              <w:t>Present value of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665" w:type="dxa"/>
            <w:tcBorders>
              <w:bottom w:val="double" w:sz="10" w:space="0" w:color="000000"/>
            </w:tcBorders>
            <w:shd w:fill="CCEEFF" w:val="clear"/>
            <w:vAlign w:val="center"/>
          </w:tcPr>
          <w:p>
            <w:pPr>
              <w:pStyle w:val="TableContents"/>
              <w:bidi w:val="0"/>
              <w:spacing w:before="0" w:after="283"/>
              <w:jc w:val="right"/>
              <w:rPr/>
            </w:pPr>
            <w:r>
              <w:rPr/>
              <w:t>6,097</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5"/>
        <w:gridCol w:w="90"/>
        <w:gridCol w:w="194"/>
        <w:gridCol w:w="674"/>
        <w:gridCol w:w="102"/>
        <w:gridCol w:w="102"/>
        <w:gridCol w:w="194"/>
        <w:gridCol w:w="674"/>
        <w:gridCol w:w="140"/>
      </w:tblGrid>
      <w:tr>
        <w:trPr/>
        <w:tc>
          <w:tcPr>
            <w:tcW w:w="80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shd w:fill="CCEEFF" w:val="clear"/>
            <w:tcMar>
              <w:bottom w:w="28" w:type="dxa"/>
            </w:tcMar>
            <w:vAlign w:val="center"/>
          </w:tcPr>
          <w:p>
            <w:pPr>
              <w:pStyle w:val="TableContents"/>
              <w:bidi w:val="0"/>
              <w:spacing w:before="0" w:after="283"/>
              <w:jc w:val="right"/>
              <w:rPr/>
            </w:pPr>
            <w:r>
              <w:rPr/>
              <w:t>5,293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shd w:fill="CCEEFF" w:val="clear"/>
            <w:tcMar>
              <w:bottom w:w="28" w:type="dxa"/>
            </w:tcMar>
            <w:vAlign w:val="center"/>
          </w:tcPr>
          <w:p>
            <w:pPr>
              <w:pStyle w:val="TableContents"/>
              <w:bidi w:val="0"/>
              <w:spacing w:before="0" w:after="283"/>
              <w:jc w:val="right"/>
              <w:rPr/>
            </w:pPr>
            <w:r>
              <w:rPr/>
              <w:t>6,102</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shd w:fill="CCEEFF" w:val="clear"/>
            <w:vAlign w:val="center"/>
          </w:tcPr>
          <w:p>
            <w:pPr>
              <w:pStyle w:val="TableContents"/>
              <w:bidi w:val="0"/>
              <w:spacing w:before="0" w:after="283"/>
              <w:jc w:val="left"/>
              <w:rPr/>
            </w:pPr>
            <w:r>
              <w:rPr/>
              <w:t>Liabilities: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Operating lease liabilities current (included in accrued expenses and other current liabilities)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975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1,633</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shd w:fill="CCEEFF" w:val="clear"/>
            <w:vAlign w:val="center"/>
          </w:tcPr>
          <w:p>
            <w:pPr>
              <w:pStyle w:val="TableContents"/>
              <w:bidi w:val="0"/>
              <w:spacing w:before="0" w:after="283"/>
              <w:jc w:val="left"/>
              <w:rPr/>
            </w:pPr>
            <w:r>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5,122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5,542</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Total operating lease liabilities</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tcMar>
              <w:bottom w:w="28" w:type="dxa"/>
            </w:tcMar>
            <w:vAlign w:val="center"/>
          </w:tcPr>
          <w:p>
            <w:pPr>
              <w:pStyle w:val="TableContents"/>
              <w:bidi w:val="0"/>
              <w:spacing w:before="0" w:after="283"/>
              <w:jc w:val="right"/>
              <w:rPr/>
            </w:pPr>
            <w:r>
              <w:rPr/>
              <w:t>6,097</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tcMar>
              <w:bottom w:w="28" w:type="dxa"/>
            </w:tcMar>
            <w:vAlign w:val="center"/>
          </w:tcPr>
          <w:p>
            <w:pPr>
              <w:pStyle w:val="TableContents"/>
              <w:bidi w:val="0"/>
              <w:spacing w:before="0" w:after="283"/>
              <w:jc w:val="right"/>
              <w:rPr/>
            </w:pPr>
            <w:r>
              <w:rPr/>
              <w:t>7,175</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other information related to leases: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2"/>
        <w:gridCol w:w="90"/>
        <w:gridCol w:w="177"/>
        <w:gridCol w:w="617"/>
        <w:gridCol w:w="256"/>
        <w:gridCol w:w="93"/>
        <w:gridCol w:w="177"/>
        <w:gridCol w:w="617"/>
        <w:gridCol w:w="256"/>
      </w:tblGrid>
      <w:tr>
        <w:trPr/>
        <w:tc>
          <w:tcPr>
            <w:tcW w:w="79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7"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256" w:type="dxa"/>
            <w:tcBorders/>
            <w:vAlign w:val="center"/>
          </w:tcPr>
          <w:p>
            <w:pPr>
              <w:pStyle w:val="TableContents"/>
              <w:bidi w:val="0"/>
              <w:spacing w:before="0" w:after="283"/>
              <w:jc w:val="left"/>
              <w:rPr/>
            </w:pPr>
            <w:r>
              <w:rPr/>
              <w:t> </w:t>
            </w:r>
          </w:p>
        </w:tc>
      </w:tr>
      <w:tr>
        <w:trPr/>
        <w:tc>
          <w:tcPr>
            <w:tcW w:w="79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256"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256" w:type="dxa"/>
            <w:tcBorders/>
            <w:vAlign w:val="center"/>
          </w:tcPr>
          <w:p>
            <w:pPr>
              <w:pStyle w:val="TableContents"/>
              <w:bidi w:val="0"/>
              <w:spacing w:before="0" w:after="283"/>
              <w:ind w:left="0" w:right="0" w:hanging="180"/>
              <w:jc w:val="left"/>
              <w:rPr/>
            </w:pPr>
            <w:r>
              <w:rPr/>
              <w:t> </w:t>
            </w:r>
          </w:p>
        </w:tc>
      </w:tr>
      <w:tr>
        <w:trPr/>
        <w:tc>
          <w:tcPr>
            <w:tcW w:w="7922" w:type="dxa"/>
            <w:tcBorders/>
            <w:shd w:fill="CCEEFF" w:val="clear"/>
            <w:vAlign w:val="center"/>
          </w:tcPr>
          <w:p>
            <w:pPr>
              <w:pStyle w:val="TableContents"/>
              <w:bidi w:val="0"/>
              <w:spacing w:before="0" w:after="283"/>
              <w:jc w:val="left"/>
              <w:rPr/>
            </w:pPr>
            <w:r>
              <w:rPr/>
              <w:t>Weighted average remaining term (years) - operating leases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4.7</w:t>
            </w:r>
          </w:p>
        </w:tc>
        <w:tc>
          <w:tcPr>
            <w:tcW w:w="25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5.7</w:t>
            </w:r>
          </w:p>
        </w:tc>
        <w:tc>
          <w:tcPr>
            <w:tcW w:w="256" w:type="dxa"/>
            <w:tcBorders/>
            <w:shd w:fill="CCEEFF" w:val="clear"/>
            <w:vAlign w:val="center"/>
          </w:tcPr>
          <w:p>
            <w:pPr>
              <w:pStyle w:val="TableContents"/>
              <w:bidi w:val="0"/>
              <w:spacing w:before="0" w:after="283"/>
              <w:ind w:left="0" w:right="0" w:hanging="180"/>
              <w:jc w:val="left"/>
              <w:rPr/>
            </w:pPr>
            <w:r>
              <w:rPr/>
              <w:t> </w:t>
            </w:r>
          </w:p>
        </w:tc>
      </w:tr>
      <w:tr>
        <w:trPr/>
        <w:tc>
          <w:tcPr>
            <w:tcW w:w="7922" w:type="dxa"/>
            <w:tcBorders/>
            <w:vAlign w:val="center"/>
          </w:tcPr>
          <w:p>
            <w:pPr>
              <w:pStyle w:val="TableContents"/>
              <w:bidi w:val="0"/>
              <w:spacing w:before="0" w:after="283"/>
              <w:jc w:val="left"/>
              <w:rPr/>
            </w:pPr>
            <w:r>
              <w:rPr/>
              <w:t>Weighted average discount rate - operating leases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8.3</w:t>
            </w:r>
          </w:p>
        </w:tc>
        <w:tc>
          <w:tcPr>
            <w:tcW w:w="256"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8.3</w:t>
            </w:r>
          </w:p>
        </w:tc>
        <w:tc>
          <w:tcPr>
            <w:tcW w:w="256" w:type="dxa"/>
            <w:tcBorders/>
            <w:vAlign w:val="center"/>
          </w:tcPr>
          <w:p>
            <w:pPr>
              <w:pStyle w:val="TableContents"/>
              <w:bidi w:val="0"/>
              <w:spacing w:before="0" w:after="283"/>
              <w:ind w:left="0" w:right="0" w:hanging="180"/>
              <w:jc w:val="left"/>
              <w:rPr/>
            </w:pPr>
            <w:r>
              <w:rPr/>
              <w:t>%</w:t>
            </w:r>
          </w:p>
        </w:tc>
      </w:tr>
      <w:tr>
        <w:trPr/>
        <w:tc>
          <w:tcPr>
            <w:tcW w:w="7922" w:type="dxa"/>
            <w:tcBorders/>
            <w:shd w:fill="CCEEFF" w:val="clear"/>
            <w:vAlign w:val="center"/>
          </w:tcPr>
          <w:p>
            <w:pPr>
              <w:pStyle w:val="TableContents"/>
              <w:bidi w:val="0"/>
              <w:spacing w:before="0" w:after="283"/>
              <w:jc w:val="left"/>
              <w:rPr/>
            </w:pPr>
            <w:r>
              <w:rPr/>
              <w:t>Cash paid for amounts included in the measurement of lease liabilities from operating lease (in thousands)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1,513</w:t>
            </w:r>
          </w:p>
        </w:tc>
        <w:tc>
          <w:tcPr>
            <w:tcW w:w="25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1,477</w:t>
            </w:r>
          </w:p>
        </w:tc>
        <w:tc>
          <w:tcPr>
            <w:tcW w:w="25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Mayne Pharma Agreement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increased certain accrual estimates including increasing our working capital adjustment accrual by $2.0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 Of the $5.5 million, $2.0 million increased the allowance for net working capital allowances remaining to be trued 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December 31, 2025 and 2024,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consolidated balance sheets, and such costs will be amortized over the remaining useful life of the patents. If Mayne Pharma is unsuccessful in this legal proceeding, then the related capitalized legal costs for this legal preceding and any unamortized IMVEXXY patent costs that were previously capitalized will be immediately expensed in the period in which we become aware of an unsuccessful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Mayne Pharma received a Paragraph IV certification notice letter (the “Sun Notice Letter”) regarding an ANDA submitted to the FDA by Sun Pharma Inc.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 As of December 31, 2025, the litigation remains ongoing and has progressed to claim construction, which the courts determine the meaning and scope of the asserted patent claims that will govern subsequent infringement and validity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30, 2022 and per the Mayne License Agreement, Mayne Pharma is responsible for all enforcement of our patents, including the responsibility for and costs of litigation discussed above with respect to Teva and Sun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other litigations and proceedings in the ordinary course of business. We are currently not involved in any other litigations and proceedings that we believe would have a material effect on our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there were no off-balance sheet arrangements that have had or are reasonably likely to have current or future effects on our financial condition, changes in financial condition, revenues or expenses, results of operations, liquidity, capital expenditures or capital resources that we consider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30, 2022. Severance obligations for all employees other than executive officers were paid in full in the first quarter of 2023, and severance obligations for executive officers were paid out by the end of the first quarter of 2025. As of December 31,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of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at our combined 2022 and 2023 Annual Meeting, our stockholders approved an amendment to our Amended and Restated Articles of Incorporation to increase the number of authorized shares of Common Stock from 12 million shares to 32 million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Company’s stockholders approved an amendment to the Company’s Amended and Restated Articles of Incorporation to increase the number of authorized shares of Common Stock from 32 million shares to 640 million shares. The Certificate of Amendment was filed with the Secretary of State of Nevada on January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table summarizes the status of our outstanding and exercisable warrants and related transactions since December 31, 2023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2390"/>
        <w:gridCol w:w="90"/>
        <w:gridCol w:w="198"/>
        <w:gridCol w:w="572"/>
        <w:gridCol w:w="121"/>
        <w:gridCol w:w="99"/>
        <w:gridCol w:w="170"/>
        <w:gridCol w:w="682"/>
        <w:gridCol w:w="99"/>
        <w:gridCol w:w="99"/>
        <w:gridCol w:w="262"/>
        <w:gridCol w:w="628"/>
        <w:gridCol w:w="99"/>
        <w:gridCol w:w="99"/>
        <w:gridCol w:w="230"/>
        <w:gridCol w:w="780"/>
        <w:gridCol w:w="135"/>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 outstanding and exercisable</w:t>
            </w:r>
          </w:p>
        </w:tc>
        <w:tc>
          <w:tcPr>
            <w:tcW w:w="13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w:t>
            </w:r>
          </w:p>
        </w:tc>
        <w:tc>
          <w:tcPr>
            <w:tcW w:w="12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Exercise</w:t>
              <w:br/>
              <w:t>Price</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Remaining</w:t>
              <w:br/>
              <w:t>Contractual</w:t>
              <w:br/>
              <w:t>Life</w:t>
              <w:br/>
              <w:t>(in Years)</w:t>
            </w:r>
          </w:p>
        </w:tc>
        <w:tc>
          <w:tcPr>
            <w:tcW w:w="13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2023</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12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281.50</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2024</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2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2025</w:t>
            </w:r>
          </w:p>
        </w:tc>
        <w:tc>
          <w:tcPr>
            <w:tcW w:w="90" w:type="dxa"/>
            <w:tcBorders/>
            <w:vAlign w:val="center"/>
          </w:tcPr>
          <w:p>
            <w:pPr>
              <w:pStyle w:val="TableContents"/>
              <w:bidi w:val="0"/>
              <w:spacing w:before="0" w:after="283"/>
              <w:jc w:val="left"/>
              <w:rPr/>
            </w:pPr>
            <w:r>
              <w:rPr/>
              <w:t> </w:t>
            </w:r>
          </w:p>
        </w:tc>
        <w:tc>
          <w:tcPr>
            <w:tcW w:w="198" w:type="dxa"/>
            <w:tcBorders>
              <w:bottom w:val="double" w:sz="12" w:space="0" w:color="000000"/>
            </w:tcBorders>
            <w:tcMar>
              <w:bottom w:w="28" w:type="dxa"/>
            </w:tcMar>
            <w:vAlign w:val="center"/>
          </w:tcPr>
          <w:p>
            <w:pPr>
              <w:pStyle w:val="TableContents"/>
              <w:bidi w:val="0"/>
              <w:spacing w:before="0" w:after="283"/>
              <w:jc w:val="left"/>
              <w:rPr/>
            </w:pPr>
            <w:r>
              <w:rPr/>
              <w:t> </w:t>
            </w:r>
          </w:p>
        </w:tc>
        <w:tc>
          <w:tcPr>
            <w:tcW w:w="572"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2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70"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62" w:type="dxa"/>
            <w:tcBorders>
              <w:bottom w:val="doub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bottom w:val="double" w:sz="12" w:space="0" w:color="000000"/>
            </w:tcBorders>
            <w:tcMar>
              <w:bottom w:w="28" w:type="dxa"/>
            </w:tcMar>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0" w:type="dxa"/>
            <w:tcBorders>
              <w:bottom w:val="double" w:sz="12" w:space="0" w:color="000000"/>
            </w:tcBorders>
            <w:tcMar>
              <w:bottom w:w="28" w:type="dxa"/>
            </w:tcMar>
            <w:vAlign w:val="center"/>
          </w:tcPr>
          <w:p>
            <w:pPr>
              <w:pStyle w:val="TableContents"/>
              <w:bidi w:val="0"/>
              <w:spacing w:before="0" w:after="283"/>
              <w:jc w:val="left"/>
              <w:rPr/>
            </w:pPr>
            <w:r>
              <w:rPr/>
              <w:t> </w:t>
            </w:r>
          </w:p>
        </w:tc>
        <w:tc>
          <w:tcPr>
            <w:tcW w:w="7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105,512 shares of common stock were subject to outstanding awards under our share-based payment award plans and inducement grants (calculated using the base number of PSUs that may vest). As of December 31, 2025, 429,229 shares of common stock were available for future grants of share-based payment awards under the TherapeuticsMD, Inc. 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outstanding and exercisable options and related transactions since December 31, 2023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7"/>
        <w:gridCol w:w="90"/>
        <w:gridCol w:w="137"/>
        <w:gridCol w:w="558"/>
        <w:gridCol w:w="110"/>
        <w:gridCol w:w="90"/>
        <w:gridCol w:w="197"/>
        <w:gridCol w:w="788"/>
        <w:gridCol w:w="90"/>
        <w:gridCol w:w="90"/>
        <w:gridCol w:w="215"/>
        <w:gridCol w:w="770"/>
        <w:gridCol w:w="90"/>
        <w:gridCol w:w="90"/>
        <w:gridCol w:w="292"/>
        <w:gridCol w:w="991"/>
        <w:gridCol w:w="90"/>
        <w:gridCol w:w="90"/>
        <w:gridCol w:w="137"/>
        <w:gridCol w:w="558"/>
        <w:gridCol w:w="110"/>
        <w:gridCol w:w="90"/>
        <w:gridCol w:w="217"/>
        <w:gridCol w:w="628"/>
        <w:gridCol w:w="90"/>
        <w:gridCol w:w="90"/>
        <w:gridCol w:w="310"/>
        <w:gridCol w:w="580"/>
        <w:gridCol w:w="90"/>
        <w:gridCol w:w="90"/>
        <w:gridCol w:w="292"/>
        <w:gridCol w:w="991"/>
        <w:gridCol w:w="137"/>
      </w:tblGrid>
      <w:tr>
        <w:trPr/>
        <w:tc>
          <w:tcPr>
            <w:tcW w:w="10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0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7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Exercisable</w:t>
            </w:r>
          </w:p>
        </w:tc>
        <w:tc>
          <w:tcPr>
            <w:tcW w:w="137"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Options</w:t>
              <w:br/>
              <w:t>Awards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Exercise 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Remaining Contractual Life (in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Options</w:t>
              <w:br/>
              <w:t>Awards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Remaining Contractual Life (in Years)</w:t>
            </w:r>
          </w:p>
        </w:tc>
        <w:tc>
          <w:tcPr>
            <w:tcW w:w="137" w:type="dxa"/>
            <w:tcBorders/>
            <w:vAlign w:val="center"/>
          </w:tcPr>
          <w:p>
            <w:pPr>
              <w:pStyle w:val="TableContents"/>
              <w:bidi w:val="0"/>
              <w:spacing w:before="0" w:after="283"/>
              <w:ind w:left="0" w:right="0" w:hanging="180"/>
              <w:jc w:val="left"/>
              <w:rPr/>
            </w:pPr>
            <w:r>
              <w:rPr/>
              <w:t> </w:t>
            </w:r>
          </w:p>
        </w:tc>
      </w:tr>
      <w:tr>
        <w:trPr/>
        <w:tc>
          <w:tcPr>
            <w:tcW w:w="10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7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bottom w:val="single" w:sz="12" w:space="0" w:color="000000"/>
            </w:tcBorders>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tcMar>
              <w:bottom w:w="28" w:type="dxa"/>
            </w:tcMar>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10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10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2025</w:t>
            </w:r>
          </w:p>
        </w:tc>
        <w:tc>
          <w:tcPr>
            <w:tcW w:w="90" w:type="dxa"/>
            <w:tcBorders/>
            <w:vAlign w:val="center"/>
          </w:tcPr>
          <w:p>
            <w:pPr>
              <w:pStyle w:val="TableContents"/>
              <w:bidi w:val="0"/>
              <w:spacing w:before="0" w:after="283"/>
              <w:jc w:val="left"/>
              <w:rPr/>
            </w:pPr>
            <w:r>
              <w:rPr/>
              <w:t> </w:t>
            </w:r>
          </w:p>
        </w:tc>
        <w:tc>
          <w:tcPr>
            <w:tcW w:w="137" w:type="dxa"/>
            <w:tcBorders>
              <w:bottom w:val="double" w:sz="12" w:space="0" w:color="000000"/>
            </w:tcBorders>
            <w:tcMar>
              <w:bottom w:w="28" w:type="dxa"/>
            </w:tcMar>
            <w:vAlign w:val="center"/>
          </w:tcPr>
          <w:p>
            <w:pPr>
              <w:pStyle w:val="TableContents"/>
              <w:bidi w:val="0"/>
              <w:spacing w:before="0" w:after="283"/>
              <w:jc w:val="left"/>
              <w:rPr/>
            </w:pPr>
            <w:r>
              <w:rPr/>
              <w:t> </w:t>
            </w:r>
          </w:p>
        </w:tc>
        <w:tc>
          <w:tcPr>
            <w:tcW w:w="55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double" w:sz="12" w:space="0" w:color="000000"/>
            </w:tcBorders>
            <w:tcMar>
              <w:bottom w:w="28" w:type="dxa"/>
            </w:tcMar>
            <w:vAlign w:val="center"/>
          </w:tcPr>
          <w:p>
            <w:pPr>
              <w:pStyle w:val="TableContents"/>
              <w:bidi w:val="0"/>
              <w:spacing w:before="0" w:after="283"/>
              <w:jc w:val="left"/>
              <w:rPr/>
            </w:pPr>
            <w:r>
              <w:rPr/>
              <w:t> </w:t>
            </w:r>
          </w:p>
        </w:tc>
        <w:tc>
          <w:tcPr>
            <w:tcW w:w="99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bottom w:val="double" w:sz="12" w:space="0" w:color="000000"/>
            </w:tcBorders>
            <w:tcMar>
              <w:bottom w:w="28" w:type="dxa"/>
            </w:tcMar>
            <w:vAlign w:val="center"/>
          </w:tcPr>
          <w:p>
            <w:pPr>
              <w:pStyle w:val="TableContents"/>
              <w:bidi w:val="0"/>
              <w:spacing w:before="0" w:after="283"/>
              <w:jc w:val="left"/>
              <w:rPr/>
            </w:pPr>
            <w:r>
              <w:rPr/>
              <w:t> </w:t>
            </w:r>
          </w:p>
        </w:tc>
        <w:tc>
          <w:tcPr>
            <w:tcW w:w="55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doub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double" w:sz="12" w:space="0" w:color="000000"/>
            </w:tcBorders>
            <w:tcMar>
              <w:bottom w:w="28" w:type="dxa"/>
            </w:tcMar>
            <w:vAlign w:val="center"/>
          </w:tcPr>
          <w:p>
            <w:pPr>
              <w:pStyle w:val="TableContents"/>
              <w:bidi w:val="0"/>
              <w:spacing w:before="0" w:after="283"/>
              <w:jc w:val="left"/>
              <w:rPr/>
            </w:pPr>
            <w:r>
              <w:rPr/>
              <w:t> </w:t>
            </w:r>
          </w:p>
        </w:tc>
        <w:tc>
          <w:tcPr>
            <w:tcW w:w="99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RSUs and related transactions since December 31, 2023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6736" w:type="dxa"/>
        <w:jc w:val="left"/>
        <w:tblInd w:w="0" w:type="dxa"/>
        <w:tblLayout w:type="fixed"/>
        <w:tblCellMar>
          <w:top w:w="0" w:type="dxa"/>
          <w:left w:w="0" w:type="dxa"/>
          <w:bottom w:w="0" w:type="dxa"/>
          <w:right w:w="0" w:type="dxa"/>
        </w:tblCellMar>
      </w:tblPr>
      <w:tblGrid>
        <w:gridCol w:w="3335"/>
        <w:gridCol w:w="90"/>
        <w:gridCol w:w="122"/>
        <w:gridCol w:w="498"/>
        <w:gridCol w:w="132"/>
        <w:gridCol w:w="95"/>
        <w:gridCol w:w="245"/>
        <w:gridCol w:w="854"/>
        <w:gridCol w:w="95"/>
        <w:gridCol w:w="95"/>
        <w:gridCol w:w="232"/>
        <w:gridCol w:w="808"/>
        <w:gridCol w:w="135"/>
      </w:tblGrid>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6" w:type="dxa"/>
            <w:gridSpan w:val="10"/>
            <w:tcBorders>
              <w:bottom w:val="single" w:sz="12" w:space="0" w:color="000000"/>
            </w:tcBorders>
            <w:tcMar>
              <w:bottom w:w="28" w:type="dxa"/>
            </w:tcMar>
            <w:vAlign w:val="center"/>
          </w:tcPr>
          <w:p>
            <w:pPr>
              <w:pStyle w:val="TableContents"/>
              <w:bidi w:val="0"/>
              <w:spacing w:before="0" w:after="283"/>
              <w:jc w:val="center"/>
              <w:rPr/>
            </w:pPr>
            <w:r>
              <w:rPr/>
              <w:t>RSUs awards outstanding</w:t>
            </w:r>
          </w:p>
        </w:tc>
        <w:tc>
          <w:tcPr>
            <w:tcW w:w="13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RSUs</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Grant Date</w:t>
              <w:br/>
              <w:t>Fair Value</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40</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9.67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89.60</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(38</w:t>
            </w:r>
          </w:p>
        </w:tc>
        <w:tc>
          <w:tcPr>
            <w:tcW w:w="132"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9.11</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2</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21.78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1.49</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26</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1.15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21.78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Balance, as of December 31, 2025</w:t>
            </w:r>
          </w:p>
        </w:tc>
        <w:tc>
          <w:tcPr>
            <w:tcW w:w="90" w:type="dxa"/>
            <w:tcBorders/>
            <w:vAlign w:val="center"/>
          </w:tcPr>
          <w:p>
            <w:pPr>
              <w:pStyle w:val="TableContents"/>
              <w:bidi w:val="0"/>
              <w:spacing w:before="0" w:after="283"/>
              <w:jc w:val="left"/>
              <w:rPr/>
            </w:pPr>
            <w:r>
              <w:rPr/>
              <w:t> </w:t>
            </w:r>
          </w:p>
        </w:tc>
        <w:tc>
          <w:tcPr>
            <w:tcW w:w="122" w:type="dxa"/>
            <w:tcBorders>
              <w:bottom w:val="double" w:sz="10" w:space="0" w:color="000000"/>
            </w:tcBorders>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tcMar>
              <w:bottom w:w="28" w:type="dxa"/>
            </w:tcMar>
            <w:vAlign w:val="center"/>
          </w:tcPr>
          <w:p>
            <w:pPr>
              <w:pStyle w:val="TableContents"/>
              <w:bidi w:val="0"/>
              <w:spacing w:before="0" w:after="283"/>
              <w:jc w:val="right"/>
              <w:rPr/>
            </w:pPr>
            <w:r>
              <w:rPr/>
              <w:t>26</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tcMar>
              <w:bottom w:w="28" w:type="dxa"/>
            </w:tcMar>
            <w:vAlign w:val="center"/>
          </w:tcPr>
          <w:p>
            <w:pPr>
              <w:pStyle w:val="TableContents"/>
              <w:bidi w:val="0"/>
              <w:spacing w:before="0" w:after="283"/>
              <w:jc w:val="right"/>
              <w:rPr/>
            </w:pPr>
            <w:r>
              <w:rPr/>
              <w:t>1.15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808" w:type="dxa"/>
            <w:tcBorders>
              <w:bottom w:val="double" w:sz="10" w:space="0" w:color="000000"/>
            </w:tcBorders>
            <w:tcMar>
              <w:bottom w:w="28" w:type="dxa"/>
            </w:tcMar>
            <w:vAlign w:val="center"/>
          </w:tcPr>
          <w:p>
            <w:pPr>
              <w:pStyle w:val="TableContents"/>
              <w:bidi w:val="0"/>
              <w:spacing w:before="0" w:after="283"/>
              <w:jc w:val="right"/>
              <w:rPr/>
            </w:pPr>
            <w:r>
              <w:rPr/>
              <w:t>41.57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PSUs and related transactions since December 31, 2023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5799" w:type="dxa"/>
        <w:jc w:val="left"/>
        <w:tblInd w:w="0" w:type="dxa"/>
        <w:tblLayout w:type="fixed"/>
        <w:tblCellMar>
          <w:top w:w="0" w:type="dxa"/>
          <w:left w:w="0" w:type="dxa"/>
          <w:bottom w:w="0" w:type="dxa"/>
          <w:right w:w="0" w:type="dxa"/>
        </w:tblCellMar>
      </w:tblPr>
      <w:tblGrid>
        <w:gridCol w:w="2915"/>
        <w:gridCol w:w="90"/>
        <w:gridCol w:w="111"/>
        <w:gridCol w:w="359"/>
        <w:gridCol w:w="110"/>
        <w:gridCol w:w="90"/>
        <w:gridCol w:w="212"/>
        <w:gridCol w:w="707"/>
        <w:gridCol w:w="90"/>
        <w:gridCol w:w="90"/>
        <w:gridCol w:w="262"/>
        <w:gridCol w:w="628"/>
        <w:gridCol w:w="135"/>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PSUs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Grant Date</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December 31, 2023</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27.30</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3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16.16</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December 31, 2024</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3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December 31, 2025</w:t>
            </w:r>
          </w:p>
        </w:tc>
        <w:tc>
          <w:tcPr>
            <w:tcW w:w="90" w:type="dxa"/>
            <w:tcBorders/>
            <w:shd w:fill="CCEEFF" w:val="clear"/>
            <w:vAlign w:val="center"/>
          </w:tcPr>
          <w:p>
            <w:pPr>
              <w:pStyle w:val="TableContents"/>
              <w:bidi w:val="0"/>
              <w:spacing w:before="0" w:after="283"/>
              <w:jc w:val="left"/>
              <w:rPr/>
            </w:pPr>
            <w:r>
              <w:rPr/>
              <w:t> </w:t>
            </w:r>
          </w:p>
        </w:tc>
        <w:tc>
          <w:tcPr>
            <w:tcW w:w="111"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359"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 compensation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compensation expense for PSUs is based on 100% vesting which was a part of the termination benefits for all employees who were terminated in 2022. We recorded share-based payment award compensation costs related to previously issued options, RSU and PSUs, as well as shares of common stock issued under our employee stock purchase plan (“ESPP”) totaling $75 thousand for 2025 and $264 thousand for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$28 thousand of unrecognized share-based payment award compensation cost related to unvested options, RSUs and PSUs as well as shares issuable under our ESPP, which may be adjusted for future changes in forfeitures and is included as additional paid-in capital in the accompanying consolidated balance sheets. No tax benefit was realized due to a continued pattern of net losses.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unrecognized compensation cost as of December 31, 2025 of $28 thousand is expected to be recognized as share-based payment award compensation over a weighted average period of 2.8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the Company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agreed to make one-time, milestone payments to the Company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to the Company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to the Company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recorded BIJUVA license sales of $632 thousand made through the Theramex License Agreement, BIJUVA and IMVEXXY license sales of $598 thousand through the Knight License Agreement and $1,791 thousand pertaining to our licensed products with Mayne Pharma, which was recognized as license revenue. Additionally, we recognized $1,291 thousand in miscellaneous income pertaining to royalty sales of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recorded BIJUVA license sales of $443 thousand made through the Theramex License Agreement, BIJUVA and IMVEXXY license sales of $195 thousand through the Knight License Agreement and $1,123 thousand pertaining to our licensed products with Mayne Pharma, which was recognized as license revenue. Additionally, we recognized $1,083 thousand in miscellaneous income pertaining to royalty sales of ANNOVERA.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Income taxes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from continuing operations before income tax for the years ended December 31, 2025 and 2024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613" w:type="dxa"/>
        <w:jc w:val="left"/>
        <w:tblInd w:w="0" w:type="dxa"/>
        <w:tblLayout w:type="fixed"/>
        <w:tblCellMar>
          <w:top w:w="0" w:type="dxa"/>
          <w:left w:w="0" w:type="dxa"/>
          <w:bottom w:w="0" w:type="dxa"/>
          <w:right w:w="0" w:type="dxa"/>
        </w:tblCellMar>
      </w:tblPr>
      <w:tblGrid>
        <w:gridCol w:w="1145"/>
        <w:gridCol w:w="90"/>
        <w:gridCol w:w="228"/>
        <w:gridCol w:w="626"/>
        <w:gridCol w:w="162"/>
        <w:gridCol w:w="132"/>
        <w:gridCol w:w="228"/>
        <w:gridCol w:w="847"/>
        <w:gridCol w:w="155"/>
      </w:tblGrid>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 Ending December 31,</w:t>
            </w:r>
          </w:p>
        </w:tc>
        <w:tc>
          <w:tcPr>
            <w:tcW w:w="15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6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5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jc w:val="left"/>
              <w:rPr/>
            </w:pPr>
            <w:r>
              <w:rPr/>
              <w:t> </w:t>
            </w:r>
          </w:p>
        </w:tc>
        <w:tc>
          <w:tcPr>
            <w:tcW w:w="22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(loss) income allocated between continuing operations and discontinued operations before income taxes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7768" w:type="dxa"/>
        <w:jc w:val="left"/>
        <w:tblInd w:w="0" w:type="dxa"/>
        <w:tblLayout w:type="fixed"/>
        <w:tblCellMar>
          <w:top w:w="0" w:type="dxa"/>
          <w:left w:w="0" w:type="dxa"/>
          <w:bottom w:w="0" w:type="dxa"/>
          <w:right w:w="0" w:type="dxa"/>
        </w:tblCellMar>
      </w:tblPr>
      <w:tblGrid>
        <w:gridCol w:w="5300"/>
        <w:gridCol w:w="90"/>
        <w:gridCol w:w="228"/>
        <w:gridCol w:w="626"/>
        <w:gridCol w:w="162"/>
        <w:gridCol w:w="132"/>
        <w:gridCol w:w="228"/>
        <w:gridCol w:w="847"/>
        <w:gridCol w:w="155"/>
      </w:tblGrid>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 Ending December 31,</w:t>
            </w:r>
          </w:p>
        </w:tc>
        <w:tc>
          <w:tcPr>
            <w:tcW w:w="15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6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5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income from discontinued operations before income taxes</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c>
          <w:tcPr>
            <w:tcW w:w="16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there was no provision for income taxes in continuing and discontinued operations, current or deferred. For the year ended December 31, 2024, the Company recorded an income tax benefit of $31 thousand, as reflected in the rate reconciliation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 federal net operating loss (“NOL”) carryforwards of $584.6 million, which is available to offset future taxable income. Approximately $27.6 million of the federal NOLs can be carried forward for 20 years and will begin to expire in 2035. The remaining $557.1 million can be carried forward indefinitely. In the event of future income, the NOL deduction arising from NOLs generated in taxable years beginning in 2021 will be limited to 80% of the excess taxable income. The Company experienced an ownership change pursuant to IRC Sec. 382 in 2022. As a result, our NOLs carryforward as of December 31, 2022 is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income tax provision with the amount of tax computed by applying the federal statutory rate to pretax income for years ended December 31, 2025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485"/>
        <w:gridCol w:w="90"/>
        <w:gridCol w:w="215"/>
        <w:gridCol w:w="615"/>
        <w:gridCol w:w="125"/>
        <w:gridCol w:w="90"/>
        <w:gridCol w:w="90"/>
        <w:gridCol w:w="665"/>
        <w:gridCol w:w="365"/>
      </w:tblGrid>
      <w:tr>
        <w:trPr/>
        <w:tc>
          <w:tcPr>
            <w:tcW w:w="6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0" w:type="dxa"/>
            <w:gridSpan w:val="6"/>
            <w:tcBorders>
              <w:bottom w:val="single" w:sz="12" w:space="0" w:color="000000"/>
            </w:tcBorders>
            <w:tcMar>
              <w:bottom w:w="28" w:type="dxa"/>
            </w:tcMar>
            <w:vAlign w:val="center"/>
          </w:tcPr>
          <w:p>
            <w:pPr>
              <w:pStyle w:val="TableContents"/>
              <w:bidi w:val="0"/>
              <w:spacing w:before="0" w:after="283"/>
              <w:jc w:val="center"/>
              <w:rPr/>
            </w:pPr>
            <w:r>
              <w:rPr/>
              <w:t>2025</w:t>
            </w:r>
          </w:p>
        </w:tc>
        <w:tc>
          <w:tcPr>
            <w:tcW w:w="365"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Percent</w:t>
            </w:r>
          </w:p>
        </w:tc>
        <w:tc>
          <w:tcPr>
            <w:tcW w:w="36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U.S. Federal Statutory Rate</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 xml:space="preserve">State tax rate, net of federal tax benefit </w:t>
            </w:r>
            <w:r>
              <w:rPr>
                <w:position w:val="8"/>
                <w:sz w:val="19"/>
              </w:rPr>
              <w:t>(1)</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Foreign Tax Effects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Effects of Changes in Tax Laws or Rates Enacted in Current Period</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Effects of Cross-Border Tax Laws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Tax Credits: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R&amp;D Credit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(28.6</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Change in Valuation Allowance</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(996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152.7</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Nontaxable or Nondeductible Items: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Excess stock benefits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908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(139.2</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Receivable Write-Off</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(5.9</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Changes in Unrecognized Tax Benefits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Other Adjustments: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Deferred True-Ups</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1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Effective Tax Rate</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15" w:type="dxa"/>
            <w:tcBorders>
              <w:bottom w:val="double" w:sz="10" w:space="0" w:color="000000"/>
            </w:tcBorders>
            <w:shd w:fill="CCEEFF" w:val="clear"/>
            <w:tcMar>
              <w:bottom w:w="28" w:type="dxa"/>
            </w:tcM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State taxes in South Carolina and Illinois make up the majority (greater than 50 percent) of the effect of this category for the period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federal statutory rate to effective income tax rate for the years ended December 31, 2024, prior to the adoption of ASU 2023-09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3695"/>
        <w:gridCol w:w="90"/>
        <w:gridCol w:w="170"/>
        <w:gridCol w:w="665"/>
        <w:gridCol w:w="125"/>
        <w:gridCol w:w="90"/>
        <w:gridCol w:w="90"/>
        <w:gridCol w:w="665"/>
        <w:gridCol w:w="365"/>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6"/>
            <w:tcBorders>
              <w:bottom w:val="single" w:sz="12" w:space="0" w:color="000000"/>
            </w:tcBorders>
            <w:tcMar>
              <w:bottom w:w="28" w:type="dxa"/>
            </w:tcMar>
            <w:vAlign w:val="center"/>
          </w:tcPr>
          <w:p>
            <w:pPr>
              <w:pStyle w:val="TableContents"/>
              <w:bidi w:val="0"/>
              <w:spacing w:before="0" w:after="283"/>
              <w:jc w:val="center"/>
              <w:rPr/>
            </w:pPr>
            <w:r>
              <w:rPr/>
              <w:t>2024</w:t>
            </w:r>
          </w:p>
        </w:tc>
        <w:tc>
          <w:tcPr>
            <w:tcW w:w="36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Percent</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Federal statutory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(492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State tax rate, net of federal tax benefit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373.3</w:t>
            </w:r>
          </w:p>
        </w:tc>
        <w:tc>
          <w:tcPr>
            <w:tcW w:w="365"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Adjustment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9,772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(417.1</w:t>
            </w:r>
          </w:p>
        </w:tc>
        <w:tc>
          <w:tcPr>
            <w:tcW w:w="36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Excess stock benefits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(24.2</w:t>
            </w:r>
          </w:p>
        </w:tc>
        <w:tc>
          <w:tcPr>
            <w:tcW w:w="365"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Interest expense accretion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Permanent and other differences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(1,132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48.3</w:t>
            </w:r>
          </w:p>
        </w:tc>
        <w:tc>
          <w:tcPr>
            <w:tcW w:w="365"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Benefit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result from temporary differences between the amount of assets and liabilities recognized for financial reporting and tax purposes. The components of the net deferred income tax asset as of December 31, 2025, and 2024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3620"/>
        <w:gridCol w:w="90"/>
        <w:gridCol w:w="170"/>
        <w:gridCol w:w="905"/>
        <w:gridCol w:w="125"/>
        <w:gridCol w:w="90"/>
        <w:gridCol w:w="170"/>
        <w:gridCol w:w="905"/>
        <w:gridCol w:w="170"/>
      </w:tblGrid>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Deferred income tax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operating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154,284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167,366</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Share-based payment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2,222</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Interest expense limitation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20,901</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Gain on sale of ANNOVERA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(3,637</w:t>
            </w:r>
          </w:p>
        </w:tc>
        <w:tc>
          <w:tcPr>
            <w:tcW w:w="170" w:type="dxa"/>
            <w:tcBorders/>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Accrual for sales returns and coupons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670</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R&amp;D credit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186</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Other,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319</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Deferred income tax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172,339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188,027</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(172,339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(188,027</w:t>
            </w:r>
          </w:p>
        </w:tc>
        <w:tc>
          <w:tcPr>
            <w:tcW w:w="170" w:type="dxa"/>
            <w:tcBorders/>
            <w:shd w:fill="CCEEFF" w:val="clear"/>
            <w:vAlign w:val="center"/>
          </w:tcPr>
          <w:p>
            <w:pPr>
              <w:pStyle w:val="TableContents"/>
              <w:bidi w:val="0"/>
              <w:spacing w:before="0" w:after="283"/>
              <w:jc w:val="left"/>
              <w:rPr/>
            </w:pPr>
            <w:r>
              <w:rPr/>
              <w:t>)</w:t>
            </w:r>
          </w:p>
        </w:tc>
      </w:tr>
      <w:tr>
        <w:trPr/>
        <w:tc>
          <w:tcPr>
            <w:tcW w:w="3620" w:type="dxa"/>
            <w:tcBorders/>
            <w:vAlign w:val="center"/>
          </w:tcPr>
          <w:p>
            <w:pPr>
              <w:pStyle w:val="TableContents"/>
              <w:bidi w:val="0"/>
              <w:spacing w:before="0" w:after="283"/>
              <w:jc w:val="left"/>
              <w:rPr/>
            </w:pPr>
            <w:r>
              <w:rPr/>
              <w:t>Deferred income tax assets, net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(net of refunds) are as follows:</w:t>
      </w:r>
    </w:p>
    <w:p>
      <w:pPr>
        <w:pStyle w:val="TextBody"/>
        <w:bidi w:val="0"/>
        <w:spacing w:before="0" w:after="0"/>
        <w:ind w:left="0" w:right="0" w:hanging="0"/>
        <w:jc w:val="left"/>
        <w:rPr>
          <w:caps w:val="false"/>
          <w:smallCaps w:val="false"/>
        </w:rPr>
      </w:pPr>
      <w:r>
        <w:rPr>
          <w:caps w:val="false"/>
          <w:smallCaps w:val="false"/>
        </w:rPr>
        <w:t> </w:t>
      </w:r>
    </w:p>
    <w:tbl>
      <w:tblPr>
        <w:tblW w:w="3373" w:type="dxa"/>
        <w:jc w:val="left"/>
        <w:tblInd w:w="0" w:type="dxa"/>
        <w:tblLayout w:type="fixed"/>
        <w:tblCellMar>
          <w:top w:w="0" w:type="dxa"/>
          <w:left w:w="0" w:type="dxa"/>
          <w:bottom w:w="0" w:type="dxa"/>
          <w:right w:w="0" w:type="dxa"/>
        </w:tblCellMar>
      </w:tblPr>
      <w:tblGrid>
        <w:gridCol w:w="1670"/>
        <w:gridCol w:w="90"/>
        <w:gridCol w:w="191"/>
        <w:gridCol w:w="410"/>
        <w:gridCol w:w="140"/>
        <w:gridCol w:w="101"/>
        <w:gridCol w:w="191"/>
        <w:gridCol w:w="410"/>
        <w:gridCol w:w="170"/>
      </w:tblGrid>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3"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7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0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Jurisdiction:</w:t>
            </w:r>
          </w:p>
        </w:tc>
        <w:tc>
          <w:tcPr>
            <w:tcW w:w="90"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South Carolina</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(18</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Illinois</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(13</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New Jersey</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(4</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Texas</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Pennsylvania</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pPr>
            <w:r>
              <w:rPr/>
              <w:t>Tennessee</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All Other States</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pPr>
            <w:r>
              <w:rPr/>
              <w:t>Total Taxes Paid</w:t>
            </w:r>
          </w:p>
        </w:tc>
        <w:tc>
          <w:tcPr>
            <w:tcW w:w="9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pPr>
            <w:r>
              <w:rPr/>
              <w:t>$</w:t>
            </w:r>
          </w:p>
        </w:tc>
        <w:tc>
          <w:tcPr>
            <w:tcW w:w="410" w:type="dxa"/>
            <w:tcBorders>
              <w:bottom w:val="double" w:sz="10" w:space="0" w:color="000000"/>
            </w:tcBorders>
            <w:tcMar>
              <w:bottom w:w="28" w:type="dxa"/>
            </w:tcMar>
            <w:vAlign w:val="center"/>
          </w:tcPr>
          <w:p>
            <w:pPr>
              <w:pStyle w:val="TableContents"/>
              <w:bidi w:val="0"/>
              <w:spacing w:before="0" w:after="283"/>
              <w:jc w:val="right"/>
              <w:rPr/>
            </w:pPr>
            <w:r>
              <w:rPr/>
              <w:t>(36</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pPr>
            <w:r>
              <w:rPr/>
              <w:t>$</w:t>
            </w:r>
          </w:p>
        </w:tc>
        <w:tc>
          <w:tcPr>
            <w:tcW w:w="410" w:type="dxa"/>
            <w:tcBorders>
              <w:bottom w:val="double" w:sz="10" w:space="0" w:color="000000"/>
            </w:tcBorders>
            <w:tcMar>
              <w:bottom w:w="28" w:type="dxa"/>
            </w:tcMar>
            <w:vAlign w:val="center"/>
          </w:tcPr>
          <w:p>
            <w:pPr>
              <w:pStyle w:val="TableContents"/>
              <w:bidi w:val="0"/>
              <w:spacing w:before="0" w:after="283"/>
              <w:jc w:val="right"/>
              <w:rPr/>
            </w:pPr>
            <w:r>
              <w:rPr/>
              <w:t>(80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in South Carolina and Illinois make up the majority (greater than 50 percent) of the effect of this category for the period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it is more likely than not that we will not generate sufficient future taxable income to realize a portion of tax benefits related to the deferred tax assets and as such, a valuation allowance has been established against a portion of the deferred tax assets as of both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first year of operations in 2011, we generated net operating losses, and our U.S. federal and state tax returns remain open to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no tax positions relating to open tax returns that were considered to be uncertain, and we had no unrecognized tax benefits. On July 4, 2025, the One Big Beautiful Bill Act (“OBBBA”) was signed into law in the U.S., which contains a broad range of tax reform provisions affecting businesses. The Company evaluated the enacted effects of the legislation on its effective tax rate and cash tax position, finding that the legislation did not have a material impact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income per common share for the periods presented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4580"/>
        <w:gridCol w:w="90"/>
        <w:gridCol w:w="201"/>
        <w:gridCol w:w="807"/>
        <w:gridCol w:w="162"/>
        <w:gridCol w:w="117"/>
        <w:gridCol w:w="201"/>
        <w:gridCol w:w="807"/>
        <w:gridCol w:w="155"/>
      </w:tblGrid>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Years Ending December 31,</w:t>
            </w:r>
          </w:p>
        </w:tc>
        <w:tc>
          <w:tcPr>
            <w:tcW w:w="15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5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Numerator:</w:t>
            </w:r>
          </w:p>
        </w:tc>
        <w:tc>
          <w:tcPr>
            <w:tcW w:w="90"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discontinued operations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c>
          <w:tcPr>
            <w:tcW w:w="1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162"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 </w:t>
            </w:r>
          </w:p>
        </w:tc>
        <w:tc>
          <w:tcPr>
            <w:tcW w:w="201"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Denominator:</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11,569</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dilutive securities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11,569</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per common share, continuing operations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vAlign w:val="center"/>
          </w:tcPr>
          <w:p>
            <w:pPr>
              <w:pStyle w:val="TableContents"/>
              <w:bidi w:val="0"/>
              <w:spacing w:before="0" w:after="283"/>
              <w:jc w:val="left"/>
              <w:rPr>
                <w:b/>
              </w:rPr>
            </w:pPr>
            <w:r>
              <w:rPr>
                <w:b/>
              </w:rPr>
              <w:t xml:space="preserve">Income </w:t>
            </w:r>
            <w:r>
              <w:rPr>
                <w:rFonts w:ascii="Times New Roman;Times;Serif" w:hAnsi="Times New Roman;Times;Serif"/>
                <w:b/>
                <w:sz w:val="20"/>
              </w:rPr>
              <w:t>per common share, discontinued operations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reported a net loss from continuing operations for the years ending December 21, 2025 and 2024, our potentially dilutive securities are deemed to be anti-dilutive, accordingly, there was no effect of dilutive securities. Therefore, our basic and diluted loss per common share and our basic and diluted weighted average common shares are the same for the years ending December 21,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securities as of the periods presented which were not included in the calculation of diluted earnings per common share during 2025 and 2024 (in thousands):</w:t>
      </w:r>
    </w:p>
    <w:p>
      <w:pPr>
        <w:pStyle w:val="TextBody"/>
        <w:bidi w:val="0"/>
        <w:spacing w:before="0" w:after="0"/>
        <w:ind w:left="0" w:right="0" w:hanging="0"/>
        <w:jc w:val="center"/>
        <w:rPr>
          <w:caps w:val="false"/>
          <w:smallCaps w:val="false"/>
        </w:rPr>
      </w:pPr>
      <w:r>
        <w:rPr>
          <w:caps w:val="false"/>
          <w:smallCaps w:val="false"/>
        </w:rPr>
        <w:t> </w:t>
      </w:r>
    </w:p>
    <w:tbl>
      <w:tblPr>
        <w:tblW w:w="2962" w:type="dxa"/>
        <w:jc w:val="left"/>
        <w:tblInd w:w="0" w:type="dxa"/>
        <w:tblLayout w:type="fixed"/>
        <w:tblCellMar>
          <w:top w:w="0" w:type="dxa"/>
          <w:left w:w="0" w:type="dxa"/>
          <w:bottom w:w="0" w:type="dxa"/>
          <w:right w:w="0" w:type="dxa"/>
        </w:tblCellMar>
      </w:tblPr>
      <w:tblGrid>
        <w:gridCol w:w="1355"/>
        <w:gridCol w:w="90"/>
        <w:gridCol w:w="105"/>
        <w:gridCol w:w="481"/>
        <w:gridCol w:w="105"/>
        <w:gridCol w:w="105"/>
        <w:gridCol w:w="105"/>
        <w:gridCol w:w="481"/>
        <w:gridCol w:w="135"/>
      </w:tblGrid>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2"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3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86"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105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57</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RSUs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PSUs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Warrants</w:t>
            </w:r>
          </w:p>
        </w:tc>
        <w:tc>
          <w:tcPr>
            <w:tcW w:w="9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tcMar>
              <w:bottom w:w="28" w:type="dxa"/>
            </w:tcMar>
            <w:vAlign w:val="center"/>
          </w:tcPr>
          <w:p>
            <w:pPr>
              <w:pStyle w:val="TableContents"/>
              <w:bidi w:val="0"/>
              <w:spacing w:before="0" w:after="283"/>
              <w:jc w:val="right"/>
              <w:rPr/>
            </w:pPr>
            <w:r>
              <w:rPr/>
              <w:t>98</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tcMar>
              <w:bottom w:w="28" w:type="dxa"/>
            </w:tcMar>
            <w:vAlign w:val="center"/>
          </w:tcPr>
          <w:p>
            <w:pPr>
              <w:pStyle w:val="TableContents"/>
              <w:bidi w:val="0"/>
              <w:spacing w:before="0" w:after="283"/>
              <w:jc w:val="right"/>
              <w:rPr/>
            </w:pPr>
            <w:r>
              <w:rPr/>
              <w:t>98</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pPr>
            <w:r>
              <w:rPr/>
              <w:t>229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pPr>
            <w:r>
              <w:rPr/>
              <w:t>162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2022, we appointed Mr. Justin Roberts as a director to fill a newly created vacancy on our Board of Directors. Mr. Roberts was elected to serve as a director at our combined 2022 and 2023 Annual Meeting held on June 26, 2023. Mr. Roberts will serve until our next Annual Meeting of Stockholders or until his successor is duly elected or appointed or his earlier death or resignation. As a director of our Company, Mr. Roberts is entitled to receive compensation in the same manner as our other non-employee directors, described in the section entitled “Director Compensation” in our Amendment No. 1 to Form 10-K for the fiscal year ended December 31, 2022, filed with the Securities and Exchange Commission on May 1, 2023,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in accordance with the terms of the Certificate of Designation, we redeemed all 29,000 outstanding shares of Series A Preferred Stock previously issued to affiliates of Rubric at a purchase price of $1,333 per share. also paid certain affiliates of Rubric approximately $3.0 million as a make-whole payment pursuant to the subscription agreements previously entered into between us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draw-downs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Business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 Additional disclosures regarding discontinued operations are provided in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100% of license revenue is related to Mayne Pharma, Theramex and Knight.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 royalty receivable of $3,525 thousand relating to the short-term portion of receivable from Mayne Pharma, Theramex and Knight and $13,713 thousand relating to the long-term portion of royalty receivable which includes royalties recognized from the minimum annual royalty that Mayne Pharma is obligated to pay to us under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segment. Accordingly, the Company’s License revenue, Net loss, and Total assets reflect the revenue, loss, and assets of the Company’s single segment,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is the chief operating decision maker (“CODM”). The CODM uses Net loss in assessing the performance and in determining the allocation of resources of the Company’s reportable segment. The CODM is regularly provided expense information consistent with the expense categories presented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total revenue of the Company by geographic location. </w:t>
      </w:r>
    </w:p>
    <w:p>
      <w:pPr>
        <w:pStyle w:val="TextBody"/>
        <w:bidi w:val="0"/>
        <w:spacing w:before="0" w:after="0"/>
        <w:ind w:left="0" w:right="0" w:hanging="0"/>
        <w:jc w:val="left"/>
        <w:rPr>
          <w:caps w:val="false"/>
          <w:smallCaps w:val="false"/>
        </w:rPr>
      </w:pPr>
      <w:r>
        <w:rPr>
          <w:caps w:val="false"/>
          <w:smallCaps w:val="false"/>
        </w:rPr>
        <w:t> </w:t>
      </w:r>
    </w:p>
    <w:tbl>
      <w:tblPr>
        <w:tblW w:w="3893" w:type="dxa"/>
        <w:jc w:val="left"/>
        <w:tblInd w:w="0" w:type="dxa"/>
        <w:tblLayout w:type="fixed"/>
        <w:tblCellMar>
          <w:top w:w="0" w:type="dxa"/>
          <w:left w:w="0" w:type="dxa"/>
          <w:bottom w:w="0" w:type="dxa"/>
          <w:right w:w="0" w:type="dxa"/>
        </w:tblCellMar>
      </w:tblPr>
      <w:tblGrid>
        <w:gridCol w:w="1700"/>
        <w:gridCol w:w="90"/>
        <w:gridCol w:w="197"/>
        <w:gridCol w:w="683"/>
        <w:gridCol w:w="104"/>
        <w:gridCol w:w="104"/>
        <w:gridCol w:w="197"/>
        <w:gridCol w:w="683"/>
        <w:gridCol w:w="135"/>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3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b/>
              </w:rPr>
            </w:pPr>
            <w:r>
              <w:rPr>
                <w:b/>
              </w:rPr>
              <w:t>License revenue</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1,792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1,123</w:t>
            </w:r>
          </w:p>
        </w:tc>
        <w:tc>
          <w:tcPr>
            <w:tcW w:w="13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Non-U.S.</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1,230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638</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3,022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1,761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27599201ex3-3.htm"/>
      <w:bookmarkStart w:id="37" w:name="ksea027599201ex33"/>
      <w:bookmarkEnd w:id="36"/>
      <w:bookmarkEnd w:id="37"/>
      <w:r>
        <w:rPr>
          <w:rFonts w:ascii="Times New Roman;Times;Serif" w:hAnsi="Times New Roman;Times;Serif"/>
          <w:b/>
          <w:i w:val="false"/>
          <w:caps w:val="false"/>
          <w:smallCaps w:val="false"/>
          <w:sz w:val="20"/>
        </w:rPr>
        <w:t>Exhibit 3.3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COMPOSITE AMENDED AND RESTATED ARTICLES OF INCORPORATION, AS AMENDED, OF THERAPEUTICSMD, INC. (THE “CORPORATION”) REFLECTS THE PROVISIONS OF THE CORPORATION’S ARTICLES OF INCORPORATION, AS AMENDED AND RESTATED ON AUGUST 3, 2011, AND ALL AMENDMENTS THERETO FILED WITH THE SECRETARY OF STATE OF THE STATE OF NEVADA THEREAFTER ON OR PRIOR TO MARCH 30, 2026, BUT IS NOT AN AMENDMENT AND/OR RESTATEMENT THEREOF.</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COMPOSITE AMENDED AND RESTATED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 AS AMENDED,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NEVADA CORPORATION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NAME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TherapeuticsMD, Inc. (the “Corporation”).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AGENT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agent for the Corporation in the State of Nevada is Paracorp Incorporated, 318 N. Carson Street, Suite 208, Carson City, Nevada 87901.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PURPOSE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the Corporation shall be perpetual. The purpose of the Corporation is to engage in any lawful act or activity for which corporations may be organized under the NRS.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capital stock that the Corporation has the authority to issue is Six Hundred Fifty Million (650,000,000) shares of which Six Hundred Forty Million (640,000,000) shares will be designated common stock, $0.001 par value per share (“Common Stock”) and Ten Million (10,000,000) shares will be designated preferred stock, $0.001 par value per share (“Preferred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 Million (10,000,000) shares of Preferred Stock may be designated from time to time in one or more series upon authorization of the Corporation’s board of directors. The Corporation’s board of directors, without further approval of the Corporation’s shareholder, will be authorized to fix the dividend rights and terms, conversion rights, voting rights, redemption rights and terms, liquidation preferences, and any other rights, preferences, privileges and restrictions applicable to each series of Preferred Stock so designated.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Corporation shall be managed by or under the direction of the Corporation’s Board of Directors. The Corporation must maintain at least one director at all times and initially sets the number of directors at four members. The number of individuals comprising the Corporation’s Board of Directors shall be fixed upon resolution of the Board of Directors and may be increased or decreased from time to time in the manner provided in the Corporation’s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upon the Board of Directors of the Corporation by the NRS, the Board of Directors shall have the power to alter, amend, change, add to and repeal, from time to time, the Bylaws of the Corporation, subject to the rights of the Corporation’s shareholders entitled to vote with respect thereto to alter, amend, change, add to and repeal the Bylaws adopted by the Board of Directors of the Corporation.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OF DIRECTORS AND OFFICERS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officer of the Corporation shall be personally liable to the Corporation or any of its shareholders for damages for breach of fiduciary duty as a director or officer involving any act or omission of any act by such director or officer, provided, however, that the foregoing provision shall not eliminate or limit the liability of a director or officer (i) for acts or omissions which involve intentional misconduct, fraud, or a known violation of the law, or (ii) the payment of dividends in violation of Section 78.300 of the NRS. Any repeal or modification of this Article by the shareholders of the Corporation shall be prospective only and shall not adversely affect any limitations on the personal liability of a director or officer of the Corporation for acts or omissions prior to such repeal or modification.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to the fullest extent permitted by the provisions of 78.502 of the NRS,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the Corporation’s Bylaws, agreement, vote of shareholders, or disinterested directors, or otherwise, both as to action in his official capacity whole holding such office, and shall continue as to a person who has ceased to be a director, officer, employee, or agent and shall inure to the benefit of the heirs, executors, and administrators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8" w:name="ea027599201ex3-11.htm"/>
      <w:bookmarkStart w:id="39" w:name="ksea027599201ex311"/>
      <w:bookmarkEnd w:id="38"/>
      <w:bookmarkEnd w:id="39"/>
      <w:r>
        <w:rPr>
          <w:b/>
        </w:rPr>
        <w:t>Exhibit 3.11</w:t>
      </w:r>
      <w:r>
        <w:br w:type="page"/>
      </w:r>
    </w:p>
    <w:p>
      <w:pPr>
        <w:pStyle w:val="TextBody"/>
        <w:bidi w:val="0"/>
        <w:spacing w:before="0" w:after="283"/>
        <w:jc w:val="left"/>
        <w:rPr/>
      </w:pPr>
      <w:r>
        <w:rPr/>
        <w:t> </w:t>
      </w:r>
    </w:p>
    <w:p>
      <w:pPr>
        <w:pStyle w:val="TextBody"/>
        <w:bidi w:val="0"/>
        <w:jc w:val="center"/>
        <w:rPr/>
      </w:pPr>
      <w:r>
        <w:rPr/>
        <w:drawing>
          <wp:inline distT="0" distB="0" distL="0" distR="0">
            <wp:extent cx="7810500" cy="1010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3"/>
                    <a:stretch>
                      <a:fillRect/>
                    </a:stretch>
                  </pic:blipFill>
                  <pic:spPr bwMode="auto">
                    <a:xfrm>
                      <a:off x="0" y="0"/>
                      <a:ext cx="7810500" cy="101060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drawing>
          <wp:inline distT="0" distB="0" distL="0" distR="0">
            <wp:extent cx="7810500" cy="10115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4"/>
                    <a:stretch>
                      <a:fillRect/>
                    </a:stretch>
                  </pic:blipFill>
                  <pic:spPr bwMode="auto">
                    <a:xfrm>
                      <a:off x="0" y="0"/>
                      <a:ext cx="7810500" cy="1011555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right"/>
        <w:rPr>
          <w:b/>
        </w:rPr>
      </w:pPr>
      <w:bookmarkStart w:id="40" w:name="ea027599201ex21-1.htm"/>
      <w:bookmarkStart w:id="41" w:name="ksea027599201ex211"/>
      <w:bookmarkEnd w:id="40"/>
      <w:bookmarkEnd w:id="41"/>
      <w:r>
        <w:rPr>
          <w:b/>
        </w:rPr>
        <w:t>Exhibit 21.1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Subsidiaries of the Company</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610"/>
        <w:gridCol w:w="60"/>
        <w:gridCol w:w="4640"/>
      </w:tblGrid>
      <w:tr>
        <w:trPr/>
        <w:tc>
          <w:tcPr>
            <w:tcW w:w="1610" w:type="dxa"/>
            <w:tcBorders>
              <w:bottom w:val="single" w:sz="12" w:space="0" w:color="000000"/>
            </w:tcBorders>
            <w:vAlign w:val="center"/>
          </w:tcPr>
          <w:p>
            <w:pPr>
              <w:pStyle w:val="TableContents"/>
              <w:bidi w:val="0"/>
              <w:spacing w:before="0" w:after="283"/>
              <w:jc w:val="center"/>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4640" w:type="dxa"/>
            <w:tcBorders>
              <w:bottom w:val="single" w:sz="12" w:space="0" w:color="000000"/>
            </w:tcBorders>
            <w:vAlign w:val="center"/>
          </w:tcPr>
          <w:p>
            <w:pPr>
              <w:pStyle w:val="TableContents"/>
              <w:bidi w:val="0"/>
              <w:spacing w:before="0" w:after="283"/>
              <w:jc w:val="center"/>
              <w:rPr>
                <w:b/>
                <w:sz w:val="20"/>
              </w:rPr>
            </w:pPr>
            <w:r>
              <w:rPr>
                <w:b/>
                <w:sz w:val="20"/>
              </w:rPr>
              <w:t>State or Jurisdiction of Incorporation or Organization</w:t>
            </w:r>
          </w:p>
        </w:tc>
      </w:tr>
      <w:tr>
        <w:trPr/>
        <w:tc>
          <w:tcPr>
            <w:tcW w:w="1610" w:type="dxa"/>
            <w:tcBorders/>
            <w:shd w:fill="CCEEFF" w:val="clear"/>
            <w:tcMar>
              <w:bottom w:w="0" w:type="dxa"/>
            </w:tcMar>
            <w:vAlign w:val="center"/>
          </w:tcPr>
          <w:p>
            <w:pPr>
              <w:pStyle w:val="TableContents"/>
              <w:bidi w:val="0"/>
              <w:spacing w:before="0" w:after="283"/>
              <w:jc w:val="center"/>
              <w:rPr>
                <w:sz w:val="20"/>
              </w:rPr>
            </w:pPr>
            <w:r>
              <w:rPr>
                <w:sz w:val="20"/>
              </w:rPr>
              <w:t>VitaMedMD, LLC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640" w:type="dxa"/>
            <w:tcBorders/>
            <w:shd w:fill="CCEEFF" w:val="clear"/>
            <w:tcMar>
              <w:bottom w:w="0" w:type="dxa"/>
            </w:tcMar>
            <w:vAlign w:val="center"/>
          </w:tcPr>
          <w:p>
            <w:pPr>
              <w:pStyle w:val="TableContents"/>
              <w:bidi w:val="0"/>
              <w:spacing w:before="0" w:after="283"/>
              <w:jc w:val="center"/>
              <w:rPr>
                <w:sz w:val="20"/>
              </w:rPr>
            </w:pPr>
            <w:r>
              <w:rPr>
                <w:sz w:val="20"/>
              </w:rPr>
              <w:t>Delaware</w:t>
            </w:r>
          </w:p>
        </w:tc>
      </w:tr>
      <w:tr>
        <w:trPr/>
        <w:tc>
          <w:tcPr>
            <w:tcW w:w="1610" w:type="dxa"/>
            <w:tcBorders/>
            <w:shd w:fill="FFFFFF" w:val="clear"/>
            <w:tcMar>
              <w:bottom w:w="0" w:type="dxa"/>
            </w:tcMar>
            <w:vAlign w:val="center"/>
          </w:tcPr>
          <w:p>
            <w:pPr>
              <w:pStyle w:val="TableContents"/>
              <w:bidi w:val="0"/>
              <w:spacing w:before="0" w:after="283"/>
              <w:jc w:val="center"/>
              <w:rPr>
                <w:sz w:val="20"/>
              </w:rPr>
            </w:pPr>
            <w:r>
              <w:rPr>
                <w:sz w:val="20"/>
              </w:rPr>
              <w:t>BocagreenMD, Inc.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640" w:type="dxa"/>
            <w:tcBorders/>
            <w:shd w:fill="FFFFFF" w:val="clear"/>
            <w:tcMar>
              <w:bottom w:w="0" w:type="dxa"/>
            </w:tcMar>
            <w:vAlign w:val="center"/>
          </w:tcPr>
          <w:p>
            <w:pPr>
              <w:pStyle w:val="TableContents"/>
              <w:bidi w:val="0"/>
              <w:spacing w:before="0" w:after="283"/>
              <w:jc w:val="center"/>
              <w:rPr>
                <w:sz w:val="20"/>
              </w:rPr>
            </w:pPr>
            <w:r>
              <w:rPr>
                <w:sz w:val="20"/>
              </w:rPr>
              <w:t>Nevada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a027599201ex23-1.htm"/>
      <w:bookmarkStart w:id="43" w:name="ksea027599201ex231"/>
      <w:bookmarkEnd w:id="42"/>
      <w:bookmarkEnd w:id="4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2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5"/>
                    <a:stretch>
                      <a:fillRect/>
                    </a:stretch>
                  </pic:blipFill>
                  <pic:spPr bwMode="auto">
                    <a:xfrm>
                      <a:off x="0" y="0"/>
                      <a:ext cx="7143750" cy="1428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Consent of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(Nos. 333-191730, 333-232268, 333-242363, 333-256879, 333-259221, and  333-260295) on Form 10-K of our report dated March 27, 2025 for TherapeuticsMD, Inc. (the “Company”) as of December 31, 2024, the related consolidated statements of operations, stockholders’ equity, and cash flows for the year ended December 31, 2024, and the related notes, before the effects of the revisions and reclassifications described in Note 1 (P), which have been subjected to audit procedures by the successor auditor whose report appears in the year ended December 31, 2025 annual report on Form 10-K of TherapeuticsMD,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other adjustments to retrospectively apply the change in presentation regarding the improvements to income tax disclosures described in Notes 1 (B) and 10 (adoption of ASU No. 2023-09), and accordingly, we do not express an opinion or any other form of assurance about whether such adjustments were appropriate and have been properly applied. These adjustments were audited by the successor auditor whose report appears in the year ended December 31, 2025 annual report on Form 10-K of TherapeuticsMD,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w:t>
        <w:b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91275" cy="180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6"/>
                    <a:stretch>
                      <a:fillRect/>
                    </a:stretch>
                  </pic:blipFill>
                  <pic:spPr bwMode="auto">
                    <a:xfrm>
                      <a:off x="0" y="0"/>
                      <a:ext cx="6391275" cy="180975"/>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7599201ex23-2.htm"/>
      <w:bookmarkStart w:id="45" w:name="ksea027599201ex232"/>
      <w:bookmarkEnd w:id="44"/>
      <w:bookmarkEnd w:id="45"/>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419850" cy="1123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7"/>
                    <a:stretch>
                      <a:fillRect/>
                    </a:stretch>
                  </pic:blipFill>
                  <pic:spPr bwMode="auto">
                    <a:xfrm>
                      <a:off x="0" y="0"/>
                      <a:ext cx="6419850" cy="1123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S-8 (File No. 333-191730, File No. 333-232268, File No. 333-242363, File No. 333-256879, File No. 333-259221 and File No. 333-260295) of TherapeuticsMD, Inc. of our report dated March 30, 2026 on the consolidated financial statements of TherapeuticsMD, Inc. and Subsidiaries as of December 31, 2025 and for the year then ended, which report is included herein in the Annual Report on Form 10-K of TherapeuticsMD, Inc.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2600"/>
        <w:gridCol w:w="75"/>
      </w:tblGrid>
      <w:tr>
        <w:trPr/>
        <w:tc>
          <w:tcPr>
            <w:tcW w:w="2600" w:type="dxa"/>
            <w:tcBorders/>
            <w:vAlign w:val="center"/>
          </w:tcPr>
          <w:p>
            <w:pPr>
              <w:pStyle w:val="TableContents"/>
              <w:bidi w:val="0"/>
              <w:spacing w:before="0" w:after="283"/>
              <w:jc w:val="left"/>
              <w:rPr>
                <w:sz w:val="20"/>
              </w:rPr>
            </w:pPr>
            <w:r>
              <w:rPr>
                <w:sz w:val="20"/>
              </w:rPr>
              <w:t>/s/ Carr, Riggs &amp; Ingram, L.L.C.</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20"/>
              </w:rPr>
            </w:pPr>
            <w:r>
              <w:rPr>
                <w:sz w:val="20"/>
              </w:rPr>
              <w:t>Palm Beach Gardens, FL</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20"/>
              </w:rPr>
            </w:pPr>
            <w:r>
              <w:rPr>
                <w:sz w:val="20"/>
              </w:rPr>
              <w:t>March 30, 2026</w:t>
            </w:r>
          </w:p>
        </w:tc>
        <w:tc>
          <w:tcPr>
            <w:tcW w:w="75" w:type="dxa"/>
            <w:tcBorders/>
            <w:vAlign w:val="center"/>
          </w:tcPr>
          <w:p>
            <w:pPr>
              <w:pStyle w:val="TableContents"/>
              <w:bidi w:val="0"/>
              <w:spacing w:before="0" w:after="283"/>
              <w:jc w:val="left"/>
              <w:rPr/>
            </w:pPr>
            <w:r>
              <w:rPr/>
              <w:t> </w:t>
            </w:r>
          </w:p>
        </w:tc>
      </w:tr>
    </w:tbl>
    <w:p>
      <w:pPr>
        <w:pStyle w:val="TextBody"/>
        <w:bidi w:val="0"/>
        <w:jc w:val="right"/>
        <w:rPr>
          <w:b/>
        </w:rPr>
      </w:pPr>
      <w:bookmarkStart w:id="46" w:name="ea027599201ex31-1.htm"/>
      <w:bookmarkStart w:id="47" w:name="ksea027599201ex3111"/>
      <w:bookmarkEnd w:id="46"/>
      <w:bookmarkEnd w:id="47"/>
      <w:r>
        <w:rPr>
          <w:b/>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Marlan D. Walker, certify that:</w:t>
      </w:r>
    </w:p>
    <w:p>
      <w:pPr>
        <w:pStyle w:val="TextBody"/>
        <w:bidi w:val="0"/>
        <w:spacing w:before="0" w:after="0"/>
        <w:ind w:left="720" w:right="0" w:hanging="36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9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260" w:type="dxa"/>
            <w:tcBorders/>
            <w:vAlign w:val="center"/>
          </w:tcPr>
          <w:p>
            <w:pPr>
              <w:pStyle w:val="TableContents"/>
              <w:bidi w:val="0"/>
              <w:spacing w:before="0" w:after="283"/>
              <w:jc w:val="both"/>
              <w:rPr/>
            </w:pPr>
            <w:r>
              <w:rPr/>
              <w:t>I have reviewed this Annual Report on Form 10-K of TherapeuticsMD, Inc. (the “10-K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Based on my knowledge, this 10-K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10-K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our conclusions about the effectiveness of the disclosure controls and procedures, as of the end of the period covered by this 10-K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10-K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both"/>
              <w:rPr/>
            </w:pPr>
            <w:r>
              <w:rPr/>
              <w:t> </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8" w:name="ea027599201ex31-2.htm"/>
      <w:bookmarkStart w:id="49" w:name="ksea027599201ex312"/>
      <w:bookmarkEnd w:id="48"/>
      <w:bookmarkEnd w:id="49"/>
      <w:r>
        <w:rPr>
          <w:b/>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Ziegler, certify that:</w:t>
      </w:r>
    </w:p>
    <w:p>
      <w:pPr>
        <w:pStyle w:val="TextBody"/>
        <w:bidi w:val="0"/>
        <w:spacing w:before="0" w:after="0"/>
        <w:ind w:left="720" w:right="0" w:hanging="36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9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260" w:type="dxa"/>
            <w:tcBorders/>
            <w:vAlign w:val="center"/>
          </w:tcPr>
          <w:p>
            <w:pPr>
              <w:pStyle w:val="TableContents"/>
              <w:bidi w:val="0"/>
              <w:spacing w:before="0" w:after="283"/>
              <w:jc w:val="both"/>
              <w:rPr/>
            </w:pPr>
            <w:r>
              <w:rPr/>
              <w:t>I have reviewed this Annual Report on Form 10-K of TherapeuticsMD, Inc. (the “10-K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Based on my knowledge, this 10-K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10-K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our conclusions about the effectiveness of the disclosure controls and procedures, as of the end of the period covered by this 10-K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10-K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p>
      <w:pPr>
        <w:pStyle w:val="TextBody"/>
        <w:bidi w:val="0"/>
        <w:spacing w:before="0" w:after="0"/>
        <w:ind w:left="0" w:right="0" w:hanging="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both"/>
              <w:rPr/>
            </w:pPr>
            <w:r>
              <w:rPr/>
              <w:t> </w:t>
            </w:r>
          </w:p>
        </w:tc>
        <w:tc>
          <w:tcPr>
            <w:tcW w:w="21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ea027599201ex32-1.htm"/>
      <w:bookmarkStart w:id="51" w:name="ksea027599201ex321"/>
      <w:bookmarkEnd w:id="50"/>
      <w:bookmarkEnd w:id="51"/>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TherapeuticsMD, Inc. (the “Company”) for the year ended December 31, 2025 (the “10-K Report”), as filed with the Securities and Exchange Commission on the date hereof, I, Marlan D. Walker, Chief Executive Officer of the Company, certify, to my best knowledge and belief, pursuant to 18 U.S.C. § 1350, as adopted pursuant to § 906 of the Sarbanes-Oxley Act of 2002, that: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left"/>
              <w:rPr/>
            </w:pPr>
            <w:r>
              <w:rPr/>
              <w:t>The 10-K Report fully complies with the requirements of Section 13(a) or 15(d) of the Securities Exchange Act of 1934 (15 U.S.C. 78m(a) or 78o(d));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283"/>
              <w:jc w:val="left"/>
              <w:rPr/>
            </w:pPr>
            <w:r>
              <w:rPr/>
              <w:t>The information contained in the 10-K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certification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2" w:name="ea027599201ex32-2.htm"/>
      <w:bookmarkStart w:id="53" w:name="ksea027599201ex322"/>
      <w:bookmarkEnd w:id="52"/>
      <w:bookmarkEnd w:id="53"/>
      <w:r>
        <w:rPr>
          <w:b/>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TherapeuticsMD, Inc. (the “Company”) for the year ended December 31, 2025 (the “10-K Report”), as filed with the Securities and Exchange Commission on the date hereof, I, Joseph Ziegler, Principal Financial Officer of the Company, certify, to my best knowledge and belief, pursuant to 18 U.S.C. § 1350, as adopted pursuant to § 906 of the Sarbanes-Oxley Act of 2002, that: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left"/>
              <w:rPr/>
            </w:pPr>
            <w:r>
              <w:rPr/>
              <w:t>The 10-K Report fully complies with the requirements of Section 13(a) or 15(d) of the Securities Exchange Act of 1934 (15 U.S.C. 78m(a) or 78o(d));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283"/>
              <w:jc w:val="left"/>
              <w:rPr/>
            </w:pPr>
            <w:r>
              <w:rPr/>
              <w:t>The information contained in the 10-K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tab/>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certification has been provided to the Company and will be retained by the Company and furnished to the Securities and Exchange Commission or its staff upon request.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5743/000101968709002459/croff_8k-ex0201.htm" TargetMode="External"/><Relationship Id="rId4" Type="http://schemas.openxmlformats.org/officeDocument/2006/relationships/hyperlink" Target="https://www.sec.gov/Archives/edgar/data/25743/000119312510138955/dex101.htm" TargetMode="External"/><Relationship Id="rId5" Type="http://schemas.openxmlformats.org/officeDocument/2006/relationships/hyperlink" Target="https://www.sec.gov/Archives/edgar/data/25743/000135601808000256/ex332.htm" TargetMode="External"/><Relationship Id="rId6" Type="http://schemas.openxmlformats.org/officeDocument/2006/relationships/hyperlink" Target="https://www.sec.gov/Archives/edgar/data/25743/000138713111001316/ex-10_01.htm" TargetMode="External"/><Relationship Id="rId7" Type="http://schemas.openxmlformats.org/officeDocument/2006/relationships/hyperlink" Target="https://www.sec.gov/Archives/edgar/data/25743/000156459022009476/txmd-ex21_221.htm" TargetMode="External"/><Relationship Id="rId8" Type="http://schemas.openxmlformats.org/officeDocument/2006/relationships/hyperlink" Target="http://www.sec.gov/Archives/edgar/data/25743/000119312510175462/dex34.htm" TargetMode="External"/><Relationship Id="rId9" Type="http://schemas.openxmlformats.org/officeDocument/2006/relationships/hyperlink" Target="http://www.sec.gov/Archives/edgar/data/25743/000119312510175462/dex35.htm" TargetMode="External"/><Relationship Id="rId10" Type="http://schemas.openxmlformats.org/officeDocument/2006/relationships/hyperlink" Target="https://www.sec.gov/Archives/edgar/data/25743/000119312510149198/ddef14c.htm" TargetMode="External"/><Relationship Id="rId11" Type="http://schemas.openxmlformats.org/officeDocument/2006/relationships/hyperlink" Target="https://www.sec.gov/Archives/edgar/data/25743/000138713115003704/ex3-1.htm" TargetMode="External"/><Relationship Id="rId12" Type="http://schemas.openxmlformats.org/officeDocument/2006/relationships/hyperlink" Target="http://www.sec.gov/Archives/edgar/data/25743/000156459022022465/txmd-ex31_10.htm" TargetMode="External"/><Relationship Id="rId13" Type="http://schemas.openxmlformats.org/officeDocument/2006/relationships/hyperlink" Target="https://www.sec.gov/Archives/edgar/data/25743/000119312522207645/d356180dex32.htm" TargetMode="External"/><Relationship Id="rId14" Type="http://schemas.openxmlformats.org/officeDocument/2006/relationships/hyperlink" Target="https://www.sec.gov/Archives/edgar/data/25743/000156459022018687/txmd-ex31_8.htm" TargetMode="External"/><Relationship Id="rId15" Type="http://schemas.openxmlformats.org/officeDocument/2006/relationships/hyperlink" Target="https://www.sec.gov/Archives/edgar/data/25743/000119312522207645/d356180dex31.htm" TargetMode="External"/><Relationship Id="rId16" Type="http://schemas.openxmlformats.org/officeDocument/2006/relationships/hyperlink" Target="https://www.sec.gov/Archives/edgar/data/25743/000119312523182808/d816117dex31.htm" TargetMode="External"/><Relationship Id="rId17" Type="http://schemas.openxmlformats.org/officeDocument/2006/relationships/hyperlink" Target="http://www.sec.gov/Archives/edgar/data/25743/000138713113000166/ex4-2.htm" TargetMode="External"/><Relationship Id="rId18" Type="http://schemas.openxmlformats.org/officeDocument/2006/relationships/hyperlink" Target="https://www.sec.gov/Archives/edgar/data/25743/000156459023005514/txmd-ex42_160.htm" TargetMode="External"/><Relationship Id="rId19" Type="http://schemas.openxmlformats.org/officeDocument/2006/relationships/hyperlink" Target="http://www.sec.gov/Archives/edgar/data/25743/000138713111002213/ex-10_3.htm" TargetMode="External"/><Relationship Id="rId20" Type="http://schemas.openxmlformats.org/officeDocument/2006/relationships/hyperlink" Target="http://www.sec.gov/Archives/edgar/data/25743/000138713111002213/ex-10_2.htm" TargetMode="External"/><Relationship Id="rId21" Type="http://schemas.openxmlformats.org/officeDocument/2006/relationships/hyperlink" Target="http://www.sec.gov/Archives/edgar/data/25743/000138713119004545/ex99-1.htm" TargetMode="External"/><Relationship Id="rId22" Type="http://schemas.openxmlformats.org/officeDocument/2006/relationships/hyperlink" Target="https://www.sec.gov/Archives/edgar/data/25743/000138713113003145/ex10-34.htm" TargetMode="External"/><Relationship Id="rId23" Type="http://schemas.openxmlformats.org/officeDocument/2006/relationships/hyperlink" Target="https://www.sec.gov/Archives/edgar/data/25743/000119312513399924/d611784dex991.htm" TargetMode="External"/><Relationship Id="rId24" Type="http://schemas.openxmlformats.org/officeDocument/2006/relationships/hyperlink" Target="https://www.sec.gov/Archives/edgar/data/25743/000138713120007144/ex4-1.htm" TargetMode="External"/><Relationship Id="rId25" Type="http://schemas.openxmlformats.org/officeDocument/2006/relationships/hyperlink" Target="https://www.sec.gov/Archives/edgar/data/25743/000138713120009695/ex4-2.htm" TargetMode="External"/><Relationship Id="rId26" Type="http://schemas.openxmlformats.org/officeDocument/2006/relationships/hyperlink" Target="https://www.sec.gov/Archives/edgar/data/25743/000138713121003140/ex10-12.htm" TargetMode="External"/><Relationship Id="rId27" Type="http://schemas.openxmlformats.org/officeDocument/2006/relationships/hyperlink" Target="https://www.sec.gov/Archives/edgar/data/25743/000138713120007144/ex10-5.htm" TargetMode="External"/><Relationship Id="rId28" Type="http://schemas.openxmlformats.org/officeDocument/2006/relationships/hyperlink" Target="https://www.sec.gov/Archives/edgar/data/25743/000138713118005976/ex10-1.htm" TargetMode="External"/><Relationship Id="rId29" Type="http://schemas.openxmlformats.org/officeDocument/2006/relationships/hyperlink" Target="https://www.sec.gov/Archives/edgar/data/25743/000138713119008469/ex10-2.htm" TargetMode="External"/><Relationship Id="rId30" Type="http://schemas.openxmlformats.org/officeDocument/2006/relationships/hyperlink" Target="https://www.sec.gov/Archives/edgar/data/25743/000138713119005935/ex10-3.htm" TargetMode="External"/><Relationship Id="rId31" Type="http://schemas.openxmlformats.org/officeDocument/2006/relationships/hyperlink" Target="https://www.sec.gov/Archives/edgar/data/25743/000138713120009695/ex10-3.htm" TargetMode="External"/><Relationship Id="rId32" Type="http://schemas.openxmlformats.org/officeDocument/2006/relationships/hyperlink" Target="https://www.sec.gov/Archives/edgar/data/25743/000119312522298002/d409080dex101.htm" TargetMode="External"/><Relationship Id="rId33" Type="http://schemas.openxmlformats.org/officeDocument/2006/relationships/hyperlink" Target="http://www.sec.gov/Archives/edgar/data/25743/000119312522298002/d409080dex102.htm" TargetMode="External"/><Relationship Id="rId34" Type="http://schemas.openxmlformats.org/officeDocument/2006/relationships/hyperlink" Target="https://www.sec.gov/Archives/edgar/data/25743/000156459023005514/txmd-ex1045_158.htm" TargetMode="External"/><Relationship Id="rId35" Type="http://schemas.openxmlformats.org/officeDocument/2006/relationships/hyperlink" Target="https://www.sec.gov/Archives/edgar/data/25743/000156459023005514/txmd-ex1046_159.htm" TargetMode="External"/><Relationship Id="rId36" Type="http://schemas.openxmlformats.org/officeDocument/2006/relationships/hyperlink" Target="https://www.sec.gov/Archives/edgar/data/25743/000156459023005514/txmd-ex1047_471.htm" TargetMode="External"/><Relationship Id="rId37" Type="http://schemas.openxmlformats.org/officeDocument/2006/relationships/hyperlink" Target="https://www.sec.gov/Archives/edgar/data/25743/000156459023005514/txmd-ex1048_439.htm" TargetMode="External"/><Relationship Id="rId38" Type="http://schemas.openxmlformats.org/officeDocument/2006/relationships/hyperlink" Target="https://www.sec.gov/Archives/edgar/data/25743/000119312523050813/d372195dex101.htm" TargetMode="External"/><Relationship Id="rId39" Type="http://schemas.openxmlformats.org/officeDocument/2006/relationships/hyperlink" Target="https://www.sec.gov/Archives/edgar/data/25743/000119312523050813/d372195dex102.htm" TargetMode="External"/><Relationship Id="rId40" Type="http://schemas.openxmlformats.org/officeDocument/2006/relationships/hyperlink" Target="https://www.sec.gov/Archives/edgar/data/25743/000119312523277143/d569965dex101.htm" TargetMode="External"/><Relationship Id="rId41" Type="http://schemas.openxmlformats.org/officeDocument/2006/relationships/hyperlink" Target="https://www.sec.gov/Archives/edgar/data/25743/000121390026005779/ea027343601ex16-1_therapeu.htm" TargetMode="External"/><Relationship Id="rId42" Type="http://schemas.openxmlformats.org/officeDocument/2006/relationships/hyperlink" Target="http://www.sec.gov/Archives/edgar/data/25743/000121390024028003/ea020146501ex97-1_therapeu.htm" TargetMode="External"/><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6.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64590</Words>
  <Characters>356944</Characters>
  <CharactersWithSpaces>422785</CharactersWithSpaces>
  <Paragraphs>7344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