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THERAPEUTICSMD,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001-00100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87-0233535</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951 Yamato Road, Suite 220</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Boca Raton, FL 33431</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 (Zip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961-1900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TXMD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15, 2026, the Audit Committee of the Board of Directors of TherapeuticsMD, Inc., a Nevada corporation (the “Company”), approved the appointment of Carr, Riggs &amp; Ingram, L.L.C. (“CRI”) as the Company’s independent registered public accounting firm, effective immediately. In connection therewith, Berkowitz Pollack Brant Advisors + CPAs (“BPB”), the Company’s prior independent registered public accounting firm, ceased serving as the Company’s independent registered public accounting firm as a result of a transaction pursuant to which CRI acquired certain assets related to the capital markets practice of BPB.</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BPB’s audit reports on the Company’s consolidated financial statements for each of the fiscal years ended December 31, 2024 and December 31, 2023 did not contain an adverse opinion or a disclaimer of opinion, nor was it qualified or modified as to uncertainty, audit scope or accounting principles, except that BPB’s reports on the Company’s financial statements as of and for the fiscal years ended December 31, 2024 and December 31, 2023 included an explanatory paragraph describing the uncertainty of the Company’s ability to continue as a going concern.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Company’s fiscal years ended December 31, 2025 and December 31, 2024 through the date of dismissal: (1) there were no “disagreements” (as defined in Item 304(a)(1)(iv) of Regulation S-K and the related instructions to Item 304) with BPB on any matter of accounting principles or practices, financial statement disclosure, or auditing scope or procedure, which disagreements, if not resolved to the satisfaction of BPB, would have caused BPB to make reference to the subject matter of such disagreements in connection with its reports on the financial statements for such periods, and (2) there were no “reportable events” (as defined in Item 304(a)(1)(v) of Regulation S-K).</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provided BPB with a copy of this Current Report on Form 8-K (this “Report”) prior to its filing with the Securities and Exchange Commission (the “SEC”) and requested that BPB furnish the Company with a letter addressed to the SEC stating whether BPB agrees with the statements made by the Company in this Report and, if not, stating the respects, if any, in which BPB does not agree with such statements. The letter of BPB addressed to the Securities and Exchange Commission is attached hereto as Exhibit 16.1.</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and December 31, 2024 and through the date of their appointment, neither the Company nor anyone acting on its behalf consulted with CRI regarding: (i) the application of accounting principles to a specified transaction, either completed or proposed, or the type of audit opinion that might be rendered on the Company’s financial statements, and neither a written report nor oral advice was provided to the Company that CRI concluded was an important factor considered by the Company in reaching a decision as to the accounting, auditing or financial reporting issue; or (ii) any matter that was either the subject of a “disagreement” within the meaning of Item 304(a)(1)(iv) of Regulation S-K and the related instructions to Item 304 or a “reportable event” within the meaning of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Berkowitz Pollack Brant Advisors + CPAs to the Securities and Exchange Commission, dated January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25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tags are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color w:val="auto"/>
        </w:rPr>
        <w:t>SIGNATURES</w:t>
      </w:r>
    </w:p>
    <w:p>
      <w:pPr>
        <w:spacing w:after="0" w:line="2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January 20, 2026</w:t>
      </w:r>
      <w:r>
        <w:rPr>
          <w:sz w:val="20"/>
          <w:szCs w:val="20"/>
          <w:color w:val="auto"/>
        </w:rPr>
        <w:tab/>
      </w:r>
      <w:r>
        <w:rPr>
          <w:rFonts w:ascii="Times New Roman" w:cs="Times New Roman" w:eastAsia="Times New Roman" w:hAnsi="Times New Roman"/>
          <w:sz w:val="17"/>
          <w:szCs w:val="17"/>
          <w:color w:val="auto"/>
        </w:rPr>
        <w:t>THERAPEUTICSMD,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Marlan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Marlan Walker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the former independent registered public accounting firm for TherapeuticsMD, Inc. (the “Company”).</w:t>
      </w:r>
    </w:p>
    <w:p>
      <w:pPr>
        <w:spacing w:after="0" w:line="22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have read the Company’s disclosure set forth in Item 4.01 “Changes in Registrant’s Certifying Accountant” of the Company’s Current Report on Form 8-K dated January 20, 2026 (the “Current Report”), and are in agreement with the statements in the Current Report, insofar as they pertain to our Firm.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Berkowitz Pollack Brant Advisors + CPAs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Berkowitz Pollack Brant Advisors + CPAs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2026-01-21T06:02:30Z</dcterms:created>
  <dcterms:modified xsi:type="dcterms:W3CDTF">2026-01-21T06:02:30Z</dcterms:modified>
</cp:coreProperties>
</file>