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949-10q_therapeutics.htm"/>
      <w:bookmarkStart w:id="1" w:name="ksea029794910q_therapeutic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w:t>
      </w:r>
      <w:r>
        <w:rPr>
          <w:rFonts w:ascii="Times New Roman;Times;Serif" w:hAnsi="Times New Roman;Times;Serif"/>
          <w:b/>
          <w:i w:val="false"/>
          <w:caps w:val="false"/>
          <w:smallCaps w:val="false"/>
          <w:sz w:val="20"/>
          <w:u w:val="single"/>
        </w:rPr>
        <w:t xml:space="preserve">            </w:t>
      </w:r>
      <w:r>
        <w:rPr>
          <w:rFonts w:ascii="Times New Roman;Times;Serif" w:hAnsi="Times New Roman;Times;Serif"/>
          <w:b/>
          <w:i w:val="false"/>
          <w:caps w:val="false"/>
          <w:smallCaps w:val="false"/>
          <w:sz w:val="20"/>
        </w:rPr>
        <w:t xml:space="preserve">to </w:t>
      </w:r>
      <w:r>
        <w:rPr>
          <w:rFonts w:ascii="Times New Roman;Times;Serif" w:hAnsi="Times New Roman;Times;Serif"/>
          <w:b/>
          <w:i w:val="false"/>
          <w:caps w:val="false"/>
          <w:smallCaps w:val="false"/>
          <w:sz w:val="20"/>
          <w:u w:val="single"/>
        </w:rPr>
        <w:t>              </w:t>
      </w:r>
      <w:r>
        <w:rPr>
          <w:rFonts w:ascii="Times New Roman;Times;Serif" w:hAnsi="Times New Roman;Times;Serif"/>
          <w:b/>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001-00100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TherapeuticsMD,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28" w:type="dxa"/>
          <w:right w:w="0" w:type="dxa"/>
        </w:tblCellMar>
      </w:tblPr>
      <w:tblGrid>
        <w:gridCol w:w="4250"/>
        <w:gridCol w:w="60"/>
        <w:gridCol w:w="1565"/>
      </w:tblGrid>
      <w:tr>
        <w:trPr/>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87-0233535</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r>
        <w:trPr/>
        <w:tc>
          <w:tcPr>
            <w:tcW w:w="42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25"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2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 Yamato Road, Suite 220, Boca Raton, Florida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33431</w:t>
            </w:r>
          </w:p>
        </w:tc>
      </w:tr>
      <w:tr>
        <w:trPr/>
        <w:tc>
          <w:tcPr>
            <w:tcW w:w="42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561-961-1900</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80"/>
        <w:gridCol w:w="60"/>
        <w:gridCol w:w="1385"/>
        <w:gridCol w:w="60"/>
        <w:gridCol w:w="3710"/>
      </w:tblGrid>
      <w:tr>
        <w:trPr/>
        <w:tc>
          <w:tcPr>
            <w:tcW w:w="36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TXMD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925"/>
        <w:gridCol w:w="230"/>
        <w:gridCol w:w="2225"/>
        <w:gridCol w:w="245"/>
      </w:tblGrid>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9, 2026, there were 11,574,362 shares of the registrant’s common stock, par value $0.001 per share,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0" w:type="dxa"/>
          <w:right w:w="0" w:type="dxa"/>
        </w:tblCellMar>
      </w:tblPr>
      <w:tblGrid>
        <w:gridCol w:w="725"/>
        <w:gridCol w:w="7010"/>
        <w:gridCol w:w="60"/>
        <w:gridCol w:w="425"/>
      </w:tblGrid>
      <w:tr>
        <w:trPr/>
        <w:tc>
          <w:tcPr>
            <w:tcW w:w="77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7735"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0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01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0"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01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010"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01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7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35"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0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01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010"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01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010"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01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010"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01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73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35" w:type="dxa"/>
            <w:gridSpan w:val="2"/>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1"/>
        <w:gridCol w:w="60"/>
        <w:gridCol w:w="153"/>
        <w:gridCol w:w="961"/>
        <w:gridCol w:w="95"/>
        <w:gridCol w:w="60"/>
        <w:gridCol w:w="186"/>
        <w:gridCol w:w="1169"/>
        <w:gridCol w:w="90"/>
      </w:tblGrid>
      <w:tr>
        <w:trPr/>
        <w:tc>
          <w:tcPr>
            <w:tcW w:w="743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pPr>
            <w:r>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2025</w:t>
            </w:r>
          </w:p>
        </w:tc>
        <w:tc>
          <w:tcPr>
            <w:tcW w:w="90" w:type="dxa"/>
            <w:tcBorders/>
            <w:vAlign w:val="center"/>
          </w:tcPr>
          <w:p>
            <w:pPr>
              <w:pStyle w:val="TableContents"/>
              <w:bidi w:val="0"/>
              <w:spacing w:before="0" w:after="283"/>
              <w:ind w:left="0" w:right="0" w:hanging="180"/>
              <w:jc w:val="left"/>
              <w:rPr/>
            </w:pPr>
            <w:r>
              <w:rPr/>
              <w:t> </w:t>
            </w:r>
          </w:p>
        </w:tc>
      </w:tr>
      <w:tr>
        <w:trPr/>
        <w:tc>
          <w:tcPr>
            <w:tcW w:w="74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31"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9,189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7,483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Royalty receivable, current portion</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3,394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3,525</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3,538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16,121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14,445</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License rights and other intangible assets,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3,559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3,761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Right of use assets,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4,828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5,293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Royalty receivable, long term</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12,626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13,713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444</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37,529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961" w:type="dxa"/>
            <w:tcBorders/>
            <w:shd w:fill="FFFFFF" w:val="clear"/>
            <w:vAlign w:val="center"/>
          </w:tcPr>
          <w:p>
            <w:pPr>
              <w:pStyle w:val="TableContents"/>
              <w:bidi w:val="0"/>
              <w:spacing w:before="0" w:after="283"/>
              <w:jc w:val="right"/>
              <w:rPr/>
            </w:pPr>
            <w:r>
              <w:rPr/>
              <w:t>460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69" w:type="dxa"/>
            <w:tcBorders/>
            <w:shd w:fill="FFFFFF" w:val="clear"/>
            <w:vAlign w:val="center"/>
          </w:tcPr>
          <w:p>
            <w:pPr>
              <w:pStyle w:val="TableContents"/>
              <w:bidi w:val="0"/>
              <w:spacing w:before="0" w:after="283"/>
              <w:jc w:val="right"/>
              <w:rPr/>
            </w:pPr>
            <w:r>
              <w:rPr/>
              <w:t>377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1,741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Current liabilities of discontinued operations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2,667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2,667</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5,003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4,785</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4,521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5,122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873</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10,397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10,780</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Commitments and contingencies (Note 6)</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Common stock, par value $0.001; 640,000 and 32,000 shares authorized, 11,574 and 11,574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431"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979,262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979,256</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(952,141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(952,391</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431"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27,132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26,876</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431"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37,529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7"/>
        <w:gridCol w:w="60"/>
        <w:gridCol w:w="157"/>
        <w:gridCol w:w="768"/>
        <w:gridCol w:w="106"/>
        <w:gridCol w:w="66"/>
        <w:gridCol w:w="157"/>
        <w:gridCol w:w="768"/>
        <w:gridCol w:w="95"/>
        <w:gridCol w:w="60"/>
        <w:gridCol w:w="140"/>
        <w:gridCol w:w="680"/>
        <w:gridCol w:w="95"/>
        <w:gridCol w:w="60"/>
        <w:gridCol w:w="140"/>
        <w:gridCol w:w="680"/>
        <w:gridCol w:w="116"/>
      </w:tblGrid>
      <w:tr>
        <w:trPr/>
        <w:tc>
          <w:tcPr>
            <w:tcW w:w="6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2"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12" w:space="0" w:color="000000"/>
            </w:tcBorders>
            <w:tcMar>
              <w:bottom w:w="28" w:type="dxa"/>
            </w:tcMar>
            <w:vAlign w:val="center"/>
          </w:tcPr>
          <w:p>
            <w:pPr>
              <w:pStyle w:val="TableContents"/>
              <w:bidi w:val="0"/>
              <w:spacing w:before="0" w:after="283"/>
              <w:jc w:val="center"/>
              <w:rPr/>
            </w:pPr>
            <w:r>
              <w:rPr/>
              <w:t>Six Months Ended</w:t>
              <w:br/>
              <w:t>June 30,</w:t>
            </w:r>
          </w:p>
        </w:tc>
        <w:tc>
          <w:tcPr>
            <w:tcW w:w="116" w:type="dxa"/>
            <w:tcBorders/>
            <w:vAlign w:val="center"/>
          </w:tcPr>
          <w:p>
            <w:pPr>
              <w:pStyle w:val="TableContents"/>
              <w:bidi w:val="0"/>
              <w:spacing w:before="0" w:after="283"/>
              <w:jc w:val="left"/>
              <w:rPr/>
            </w:pPr>
            <w:r>
              <w:rPr/>
              <w:t> </w:t>
            </w:r>
          </w:p>
        </w:tc>
      </w:tr>
      <w:tr>
        <w:trPr/>
        <w:tc>
          <w:tcPr>
            <w:tcW w:w="60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6" w:type="dxa"/>
            <w:tcBorders/>
            <w:vAlign w:val="center"/>
          </w:tcPr>
          <w:p>
            <w:pPr>
              <w:pStyle w:val="TableContents"/>
              <w:bidi w:val="0"/>
              <w:spacing w:before="0" w:after="283"/>
              <w:jc w:val="left"/>
              <w:rPr/>
            </w:pPr>
            <w:r>
              <w:rPr/>
              <w:t> </w:t>
            </w:r>
          </w:p>
        </w:tc>
      </w:tr>
      <w:tr>
        <w:trPr/>
        <w:tc>
          <w:tcPr>
            <w:tcW w:w="6057" w:type="dxa"/>
            <w:tcBorders/>
            <w:vAlign w:val="center"/>
          </w:tcPr>
          <w:p>
            <w:pPr>
              <w:pStyle w:val="TableContents"/>
              <w:bidi w:val="0"/>
              <w:spacing w:before="0" w:after="283"/>
              <w:jc w:val="left"/>
              <w:rPr/>
            </w:pPr>
            <w:r>
              <w:rPr/>
              <w:t>Revenue, net:</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869</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1,345</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1,577</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3,042</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Write-off of patents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13</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88</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Depreciation &amp; amortization</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191</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1,647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3,321</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10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(695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(1,976</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69</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523</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786</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Miscellaneous income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388</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pPr>
            <w:r>
              <w:rPr/>
              <w:t>835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1,008</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980</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1,853</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Income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164</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164</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Income (loss)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0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6" w:type="dxa"/>
            <w:tcBorders/>
            <w:shd w:fill="FFFFFF" w:val="clear"/>
            <w:vAlign w:val="center"/>
          </w:tcPr>
          <w:p>
            <w:pPr>
              <w:pStyle w:val="TableContents"/>
              <w:bidi w:val="0"/>
              <w:spacing w:before="0" w:after="283"/>
              <w:jc w:val="left"/>
              <w:rPr/>
            </w:pPr>
            <w:r>
              <w:rPr/>
              <w:t>)</w:t>
            </w:r>
          </w:p>
        </w:tc>
      </w:tr>
      <w:tr>
        <w:trPr/>
        <w:tc>
          <w:tcPr>
            <w:tcW w:w="605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pPr>
            <w:r>
              <w:rPr/>
              <w:t>155</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pPr>
            <w:r>
              <w:rPr/>
              <w:t>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(102</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Income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0.01</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8"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(0.01</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Discontinued operations, net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(0.00</w:t>
            </w:r>
          </w:p>
        </w:tc>
        <w:tc>
          <w:tcPr>
            <w:tcW w:w="10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(0.00</w:t>
            </w:r>
          </w:p>
        </w:tc>
        <w:tc>
          <w:tcPr>
            <w:tcW w:w="116" w:type="dxa"/>
            <w:tcBorders/>
            <w:shd w:fill="FFFFFF" w:val="clear"/>
            <w:vAlign w:val="center"/>
          </w:tcPr>
          <w:p>
            <w:pPr>
              <w:pStyle w:val="TableContents"/>
              <w:bidi w:val="0"/>
              <w:spacing w:before="0" w:after="283"/>
              <w:jc w:val="left"/>
              <w:rPr/>
            </w:pPr>
            <w:r>
              <w:rPr/>
              <w:t>)</w:t>
            </w:r>
          </w:p>
        </w:tc>
      </w:tr>
      <w:tr>
        <w:trPr/>
        <w:tc>
          <w:tcPr>
            <w:tcW w:w="6057" w:type="dxa"/>
            <w:tcBorders/>
            <w:shd w:fill="CCEEFF" w:val="clear"/>
            <w:vAlign w:val="center"/>
          </w:tcPr>
          <w:p>
            <w:pPr>
              <w:pStyle w:val="TableContents"/>
              <w:bidi w:val="0"/>
              <w:spacing w:before="0" w:after="283"/>
              <w:jc w:val="left"/>
              <w:rPr/>
            </w:pPr>
            <w:r>
              <w:rPr/>
              <w:t>Net income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(0.01</w:t>
            </w:r>
          </w:p>
        </w:tc>
        <w:tc>
          <w:tcPr>
            <w:tcW w:w="116" w:type="dxa"/>
            <w:tcBorders/>
            <w:shd w:fill="CCEEFF" w:val="clear"/>
            <w:vAlign w:val="center"/>
          </w:tcPr>
          <w:p>
            <w:pPr>
              <w:pStyle w:val="TableContents"/>
              <w:bidi w:val="0"/>
              <w:spacing w:before="0" w:after="283"/>
              <w:jc w:val="left"/>
              <w:rPr/>
            </w:pPr>
            <w:r>
              <w:rPr/>
              <w:t>)</w:t>
            </w:r>
          </w:p>
        </w:tc>
      </w:tr>
      <w:tr>
        <w:trPr/>
        <w:tc>
          <w:tcPr>
            <w:tcW w:w="60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6057" w:type="dxa"/>
            <w:tcBorders/>
            <w:shd w:fill="CCEEFF" w:val="clear"/>
            <w:vAlign w:val="center"/>
          </w:tcPr>
          <w:p>
            <w:pPr>
              <w:pStyle w:val="TableContents"/>
              <w:bidi w:val="0"/>
              <w:spacing w:before="0" w:after="283"/>
              <w:jc w:val="left"/>
              <w:rPr/>
            </w:pPr>
            <w:r>
              <w:rPr/>
              <w:t>Weighted average common shares, basic</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11,574</w:t>
            </w:r>
          </w:p>
        </w:tc>
        <w:tc>
          <w:tcPr>
            <w:tcW w:w="1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11,563</w:t>
            </w:r>
          </w:p>
        </w:tc>
        <w:tc>
          <w:tcPr>
            <w:tcW w:w="116" w:type="dxa"/>
            <w:tcBorders/>
            <w:shd w:fill="CCEEFF" w:val="clear"/>
            <w:vAlign w:val="center"/>
          </w:tcPr>
          <w:p>
            <w:pPr>
              <w:pStyle w:val="TableContents"/>
              <w:bidi w:val="0"/>
              <w:spacing w:before="0" w:after="283"/>
              <w:jc w:val="left"/>
              <w:rPr/>
            </w:pPr>
            <w:r>
              <w:rPr/>
              <w:t> </w:t>
            </w:r>
          </w:p>
        </w:tc>
      </w:tr>
      <w:tr>
        <w:trPr/>
        <w:tc>
          <w:tcPr>
            <w:tcW w:w="6057" w:type="dxa"/>
            <w:tcBorders/>
            <w:shd w:fill="FFFFFF" w:val="clear"/>
            <w:vAlign w:val="center"/>
          </w:tcPr>
          <w:p>
            <w:pPr>
              <w:pStyle w:val="TableContents"/>
              <w:bidi w:val="0"/>
              <w:spacing w:before="0" w:after="283"/>
              <w:jc w:val="left"/>
              <w:rPr/>
            </w:pPr>
            <w:r>
              <w:rPr/>
              <w:t>Weighted average common shares, 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11,643</w:t>
            </w:r>
          </w:p>
        </w:tc>
        <w:tc>
          <w:tcPr>
            <w:tcW w:w="1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11,574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11,563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w:t>
      </w:r>
    </w:p>
    <w:p>
      <w:pPr>
        <w:pStyle w:val="TextBody"/>
        <w:bidi w:val="0"/>
        <w:spacing w:before="0" w:after="0"/>
        <w:ind w:left="0" w:right="0" w:hanging="0"/>
        <w:jc w:val="center"/>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2555"/>
        <w:gridCol w:w="60"/>
        <w:gridCol w:w="71"/>
        <w:gridCol w:w="812"/>
        <w:gridCol w:w="71"/>
        <w:gridCol w:w="71"/>
        <w:gridCol w:w="280"/>
        <w:gridCol w:w="520"/>
        <w:gridCol w:w="60"/>
        <w:gridCol w:w="60"/>
        <w:gridCol w:w="152"/>
        <w:gridCol w:w="873"/>
        <w:gridCol w:w="60"/>
        <w:gridCol w:w="60"/>
        <w:gridCol w:w="176"/>
        <w:gridCol w:w="1104"/>
        <w:gridCol w:w="95"/>
        <w:gridCol w:w="60"/>
        <w:gridCol w:w="140"/>
        <w:gridCol w:w="680"/>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Balance, January 1, 2026</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11,574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979,256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(952,391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26,876</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Balance, March 31, 2026</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11,574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w:t>
            </w:r>
          </w:p>
        </w:tc>
        <w:tc>
          <w:tcPr>
            <w:tcW w:w="52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979,258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104" w:type="dxa"/>
            <w:tcBorders/>
            <w:shd w:fill="FFFFFF" w:val="clear"/>
            <w:vAlign w:val="center"/>
          </w:tcPr>
          <w:p>
            <w:pPr>
              <w:pStyle w:val="TableContents"/>
              <w:bidi w:val="0"/>
              <w:spacing w:before="0" w:after="283"/>
              <w:jc w:val="right"/>
              <w:rPr/>
            </w:pPr>
            <w:r>
              <w:rPr/>
              <w:t>(952,296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26,973</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155</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2555" w:type="dxa"/>
            <w:tcBorders/>
            <w:shd w:fill="CCEEFF" w:val="clear"/>
            <w:vAlign w:val="center"/>
          </w:tcPr>
          <w:p>
            <w:pPr>
              <w:pStyle w:val="TableContents"/>
              <w:bidi w:val="0"/>
              <w:spacing w:before="0" w:after="283"/>
              <w:jc w:val="left"/>
              <w:rPr/>
            </w:pPr>
            <w:r>
              <w:rPr/>
              <w:t>Balance, June 30, 2026</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10" w:space="0" w:color="000000"/>
            </w:tcBorders>
            <w:shd w:fill="CCEEFF" w:val="clear"/>
            <w:tcMar>
              <w:bottom w:w="28" w:type="dxa"/>
            </w:tcMar>
            <w:vAlign w:val="center"/>
          </w:tcPr>
          <w:p>
            <w:pPr>
              <w:pStyle w:val="TableContents"/>
              <w:bidi w:val="0"/>
              <w:spacing w:before="0" w:after="283"/>
              <w:jc w:val="right"/>
              <w:rPr/>
            </w:pPr>
            <w:r>
              <w:rPr/>
              <w:t>11,574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979,262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(952,141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27,132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555"/>
        <w:gridCol w:w="60"/>
        <w:gridCol w:w="71"/>
        <w:gridCol w:w="812"/>
        <w:gridCol w:w="71"/>
        <w:gridCol w:w="71"/>
        <w:gridCol w:w="280"/>
        <w:gridCol w:w="520"/>
        <w:gridCol w:w="60"/>
        <w:gridCol w:w="60"/>
        <w:gridCol w:w="152"/>
        <w:gridCol w:w="873"/>
        <w:gridCol w:w="60"/>
        <w:gridCol w:w="60"/>
        <w:gridCol w:w="176"/>
        <w:gridCol w:w="1104"/>
        <w:gridCol w:w="95"/>
        <w:gridCol w:w="60"/>
        <w:gridCol w:w="140"/>
        <w:gridCol w:w="680"/>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pPr>
            <w:r>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3"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Balance, January 1, 2025</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11,532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52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873" w:type="dxa"/>
            <w:tcBorders/>
            <w:shd w:fill="CCEEFF" w:val="clear"/>
            <w:vAlign w:val="center"/>
          </w:tcPr>
          <w:p>
            <w:pPr>
              <w:pStyle w:val="TableContents"/>
              <w:bidi w:val="0"/>
              <w:spacing w:before="0" w:after="283"/>
              <w:jc w:val="right"/>
              <w:rPr/>
            </w:pPr>
            <w:r>
              <w:rPr/>
              <w:t>979,181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(951,822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27,370</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42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(653</w:t>
            </w:r>
          </w:p>
        </w:tc>
        <w:tc>
          <w:tcPr>
            <w:tcW w:w="110" w:type="dxa"/>
            <w:tcBorders/>
            <w:shd w:fill="CCEEFF" w:val="clear"/>
            <w:vAlign w:val="center"/>
          </w:tcPr>
          <w:p>
            <w:pPr>
              <w:pStyle w:val="TableContents"/>
              <w:bidi w:val="0"/>
              <w:spacing w:before="0" w:after="283"/>
              <w:jc w:val="left"/>
              <w:rPr/>
            </w:pPr>
            <w:r>
              <w:rPr/>
              <w:t>)</w:t>
            </w:r>
          </w:p>
        </w:tc>
      </w:tr>
      <w:tr>
        <w:trPr/>
        <w:tc>
          <w:tcPr>
            <w:tcW w:w="2555" w:type="dxa"/>
            <w:tcBorders/>
            <w:shd w:fill="FFFFFF" w:val="clear"/>
            <w:vAlign w:val="center"/>
          </w:tcPr>
          <w:p>
            <w:pPr>
              <w:pStyle w:val="TableContents"/>
              <w:bidi w:val="0"/>
              <w:spacing w:before="0" w:after="283"/>
              <w:jc w:val="left"/>
              <w:rPr/>
            </w:pPr>
            <w:r>
              <w:rPr/>
              <w:t>Balance, March 31, 2025</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11,574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w:t>
            </w:r>
          </w:p>
        </w:tc>
        <w:tc>
          <w:tcPr>
            <w:tcW w:w="52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873" w:type="dxa"/>
            <w:tcBorders/>
            <w:shd w:fill="FFFFFF" w:val="clear"/>
            <w:vAlign w:val="center"/>
          </w:tcPr>
          <w:p>
            <w:pPr>
              <w:pStyle w:val="TableContents"/>
              <w:bidi w:val="0"/>
              <w:spacing w:before="0" w:after="283"/>
              <w:jc w:val="right"/>
              <w:rPr/>
            </w:pPr>
            <w:r>
              <w:rPr/>
              <w:t>979,204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w:t>
            </w:r>
          </w:p>
        </w:tc>
        <w:tc>
          <w:tcPr>
            <w:tcW w:w="1104" w:type="dxa"/>
            <w:tcBorders/>
            <w:shd w:fill="FFFFFF" w:val="clear"/>
            <w:vAlign w:val="center"/>
          </w:tcPr>
          <w:p>
            <w:pPr>
              <w:pStyle w:val="TableContents"/>
              <w:bidi w:val="0"/>
              <w:spacing w:before="0" w:after="283"/>
              <w:jc w:val="right"/>
              <w:rPr/>
            </w:pPr>
            <w:r>
              <w:rPr/>
              <w:t>(952,475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26,740</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11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Balance, June 30, 2025</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10" w:space="0" w:color="000000"/>
            </w:tcBorders>
            <w:shd w:fill="CCEEFF" w:val="clear"/>
            <w:tcMar>
              <w:bottom w:w="28" w:type="dxa"/>
            </w:tcMar>
            <w:vAlign w:val="center"/>
          </w:tcPr>
          <w:p>
            <w:pPr>
              <w:pStyle w:val="TableContents"/>
              <w:bidi w:val="0"/>
              <w:spacing w:before="0" w:after="283"/>
              <w:jc w:val="right"/>
              <w:rPr/>
            </w:pPr>
            <w:r>
              <w:rPr/>
              <w:t>11,574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2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3" w:type="dxa"/>
            <w:tcBorders>
              <w:bottom w:val="double" w:sz="10" w:space="0" w:color="000000"/>
            </w:tcBorders>
            <w:shd w:fill="CCEEFF" w:val="clear"/>
            <w:tcMar>
              <w:bottom w:w="28" w:type="dxa"/>
            </w:tcMar>
            <w:vAlign w:val="center"/>
          </w:tcPr>
          <w:p>
            <w:pPr>
              <w:pStyle w:val="TableContents"/>
              <w:bidi w:val="0"/>
              <w:spacing w:before="0" w:after="283"/>
              <w:jc w:val="right"/>
              <w:rPr/>
            </w:pPr>
            <w:r>
              <w:rPr/>
              <w:t>979,205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(951,924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27,292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25"/>
        <w:gridCol w:w="60"/>
        <w:gridCol w:w="162"/>
        <w:gridCol w:w="652"/>
        <w:gridCol w:w="110"/>
        <w:gridCol w:w="69"/>
        <w:gridCol w:w="162"/>
        <w:gridCol w:w="652"/>
        <w:gridCol w:w="113"/>
      </w:tblGrid>
      <w:tr>
        <w:trPr/>
        <w:tc>
          <w:tcPr>
            <w:tcW w:w="8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7"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3" w:type="dxa"/>
            <w:tcBorders/>
            <w:vAlign w:val="center"/>
          </w:tcPr>
          <w:p>
            <w:pPr>
              <w:pStyle w:val="TableContents"/>
              <w:bidi w:val="0"/>
              <w:spacing w:before="0" w:after="283"/>
              <w:jc w:val="left"/>
              <w:rPr/>
            </w:pPr>
            <w:r>
              <w:rPr/>
              <w:t> </w:t>
            </w:r>
          </w:p>
        </w:tc>
      </w:tr>
      <w:tr>
        <w:trPr/>
        <w:tc>
          <w:tcPr>
            <w:tcW w:w="8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left"/>
              <w:rPr/>
            </w:pPr>
            <w:r>
              <w:rPr/>
              <w:t> </w:t>
            </w:r>
          </w:p>
        </w:tc>
      </w:tr>
      <w:tr>
        <w:trPr/>
        <w:tc>
          <w:tcPr>
            <w:tcW w:w="8225"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8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14"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(102</w:t>
            </w:r>
          </w:p>
        </w:tc>
        <w:tc>
          <w:tcPr>
            <w:tcW w:w="113" w:type="dxa"/>
            <w:tcBorders/>
            <w:shd w:fill="CCEEFF" w:val="clear"/>
            <w:vAlign w:val="center"/>
          </w:tcPr>
          <w:p>
            <w:pPr>
              <w:pStyle w:val="TableContents"/>
              <w:bidi w:val="0"/>
              <w:spacing w:before="0" w:after="283"/>
              <w:jc w:val="left"/>
              <w:rPr/>
            </w:pPr>
            <w:r>
              <w:rPr/>
              <w:t>)</w:t>
            </w:r>
          </w:p>
        </w:tc>
      </w:tr>
      <w:tr>
        <w:trPr/>
        <w:tc>
          <w:tcPr>
            <w:tcW w:w="8225" w:type="dxa"/>
            <w:tcBorders/>
            <w:shd w:fill="FFFFFF" w:val="clear"/>
            <w:vAlign w:val="center"/>
          </w:tcPr>
          <w:p>
            <w:pPr>
              <w:pStyle w:val="TableContents"/>
              <w:bidi w:val="0"/>
              <w:spacing w:before="0" w:after="283"/>
              <w:jc w:val="left"/>
              <w:rPr/>
            </w:pPr>
            <w:r>
              <w:rPr/>
              <w:t>Less: 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3" w:type="dxa"/>
            <w:tcBorders/>
            <w:shd w:fill="FFFFFF" w:val="clear"/>
            <w:vAlign w:val="center"/>
          </w:tcPr>
          <w:p>
            <w:pPr>
              <w:pStyle w:val="TableContents"/>
              <w:bidi w:val="0"/>
              <w:spacing w:before="0" w:after="283"/>
              <w:jc w:val="left"/>
              <w:rPr/>
            </w:pPr>
            <w:r>
              <w:rPr/>
              <w:t>)</w:t>
            </w:r>
          </w:p>
        </w:tc>
      </w:tr>
      <w:tr>
        <w:trPr/>
        <w:tc>
          <w:tcPr>
            <w:tcW w:w="8225" w:type="dxa"/>
            <w:tcBorders/>
            <w:shd w:fill="CCEEFF" w:val="clear"/>
            <w:vAlign w:val="center"/>
          </w:tcPr>
          <w:p>
            <w:pPr>
              <w:pStyle w:val="TableContents"/>
              <w:bidi w:val="0"/>
              <w:spacing w:before="0" w:after="283"/>
              <w:jc w:val="left"/>
              <w:rPr/>
            </w:pPr>
            <w:r>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267</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(91</w:t>
            </w:r>
          </w:p>
        </w:tc>
        <w:tc>
          <w:tcPr>
            <w:tcW w:w="113" w:type="dxa"/>
            <w:tcBorders/>
            <w:shd w:fill="CCEEFF" w:val="clear"/>
            <w:vAlign w:val="center"/>
          </w:tcPr>
          <w:p>
            <w:pPr>
              <w:pStyle w:val="TableContents"/>
              <w:bidi w:val="0"/>
              <w:spacing w:before="0" w:after="283"/>
              <w:jc w:val="left"/>
              <w:rPr/>
            </w:pPr>
            <w:r>
              <w:rPr/>
              <w:t>)</w:t>
            </w:r>
          </w:p>
        </w:tc>
      </w:tr>
      <w:tr>
        <w:trPr/>
        <w:tc>
          <w:tcPr>
            <w:tcW w:w="8225" w:type="dxa"/>
            <w:tcBorders/>
            <w:shd w:fill="FFFFFF" w:val="clear"/>
            <w:vAlign w:val="center"/>
          </w:tcPr>
          <w:p>
            <w:pPr>
              <w:pStyle w:val="TableContents"/>
              <w:bidi w:val="0"/>
              <w:spacing w:before="0" w:after="283"/>
              <w:jc w:val="left"/>
              <w:rPr/>
            </w:pPr>
            <w:r>
              <w:rPr/>
              <w:t>Adjustments to reconcile net income (loss) to net cash provided by continuing operating activities: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191</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Write-off of patents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88</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Share-based compensation costs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24</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465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(192</w:t>
            </w:r>
          </w:p>
        </w:tc>
        <w:tc>
          <w:tcPr>
            <w:tcW w:w="113" w:type="dxa"/>
            <w:tcBorders/>
            <w:shd w:fill="FFFFFF" w:val="clear"/>
            <w:vAlign w:val="center"/>
          </w:tcPr>
          <w:p>
            <w:pPr>
              <w:pStyle w:val="TableContents"/>
              <w:bidi w:val="0"/>
              <w:spacing w:before="0" w:after="283"/>
              <w:jc w:val="left"/>
              <w:rPr/>
            </w:pPr>
            <w:r>
              <w:rPr/>
              <w:t>)</w:t>
            </w:r>
          </w:p>
        </w:tc>
      </w:tr>
      <w:tr>
        <w:trPr/>
        <w:tc>
          <w:tcPr>
            <w:tcW w:w="822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1,267</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872</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83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92</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84</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(537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(445</w:t>
            </w:r>
          </w:p>
        </w:tc>
        <w:tc>
          <w:tcPr>
            <w:tcW w:w="113" w:type="dxa"/>
            <w:tcBorders/>
            <w:shd w:fill="FFFFFF" w:val="clear"/>
            <w:vAlign w:val="center"/>
          </w:tcPr>
          <w:p>
            <w:pPr>
              <w:pStyle w:val="TableContents"/>
              <w:bidi w:val="0"/>
              <w:spacing w:before="0" w:after="283"/>
              <w:jc w:val="left"/>
              <w:rPr/>
            </w:pPr>
            <w:r>
              <w:rPr/>
              <w:t>)</w:t>
            </w:r>
          </w:p>
        </w:tc>
      </w:tr>
      <w:tr>
        <w:trPr/>
        <w:tc>
          <w:tcPr>
            <w:tcW w:w="822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87</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1,456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1,171</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Net cash provided by continuing operating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1,723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1,080</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(70</w:t>
            </w:r>
          </w:p>
        </w:tc>
        <w:tc>
          <w:tcPr>
            <w:tcW w:w="113" w:type="dxa"/>
            <w:tcBorders/>
            <w:shd w:fill="CCEEFF" w:val="clear"/>
            <w:vAlign w:val="center"/>
          </w:tcPr>
          <w:p>
            <w:pPr>
              <w:pStyle w:val="TableContents"/>
              <w:bidi w:val="0"/>
              <w:spacing w:before="0" w:after="283"/>
              <w:jc w:val="left"/>
              <w:rPr/>
            </w:pPr>
            <w:r>
              <w:rPr/>
              <w:t>)</w:t>
            </w:r>
          </w:p>
        </w:tc>
      </w:tr>
      <w:tr>
        <w:trPr/>
        <w:tc>
          <w:tcPr>
            <w:tcW w:w="8225" w:type="dxa"/>
            <w:tcBorders/>
            <w:shd w:fill="FFFFFF" w:val="clear"/>
            <w:vAlign w:val="center"/>
          </w:tcPr>
          <w:p>
            <w:pPr>
              <w:pStyle w:val="TableContents"/>
              <w:bidi w:val="0"/>
              <w:spacing w:before="0" w:after="283"/>
              <w:jc w:val="left"/>
              <w:rPr/>
            </w:pPr>
            <w:r>
              <w:rPr/>
              <w:t>Net cash used in discontinued operations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113" w:type="dxa"/>
            <w:tcBorders/>
            <w:shd w:fill="FFFFFF" w:val="clear"/>
            <w:vAlign w:val="center"/>
          </w:tcPr>
          <w:p>
            <w:pPr>
              <w:pStyle w:val="TableContents"/>
              <w:bidi w:val="0"/>
              <w:spacing w:before="0" w:after="283"/>
              <w:jc w:val="left"/>
              <w:rPr/>
            </w:pPr>
            <w:r>
              <w:rPr/>
              <w:t>)</w:t>
            </w:r>
          </w:p>
        </w:tc>
      </w:tr>
      <w:tr>
        <w:trPr/>
        <w:tc>
          <w:tcPr>
            <w:tcW w:w="8225"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1,706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1,010</w:t>
            </w:r>
          </w:p>
        </w:tc>
        <w:tc>
          <w:tcPr>
            <w:tcW w:w="113" w:type="dxa"/>
            <w:tcBorders/>
            <w:shd w:fill="CCEEFF" w:val="clear"/>
            <w:vAlign w:val="center"/>
          </w:tcPr>
          <w:p>
            <w:pPr>
              <w:pStyle w:val="TableContents"/>
              <w:bidi w:val="0"/>
              <w:spacing w:before="0" w:after="283"/>
              <w:jc w:val="left"/>
              <w:rPr/>
            </w:pPr>
            <w:r>
              <w:rPr/>
              <w:t> </w:t>
            </w:r>
          </w:p>
        </w:tc>
      </w:tr>
      <w:tr>
        <w:trPr/>
        <w:tc>
          <w:tcPr>
            <w:tcW w:w="8225" w:type="dxa"/>
            <w:tcBorders/>
            <w:shd w:fill="FFFFFF" w:val="clear"/>
            <w:vAlign w:val="center"/>
          </w:tcPr>
          <w:p>
            <w:pPr>
              <w:pStyle w:val="TableContents"/>
              <w:bidi w:val="0"/>
              <w:spacing w:before="0" w:after="283"/>
              <w:jc w:val="left"/>
              <w:rPr/>
            </w:pPr>
            <w:r>
              <w:rPr/>
              <w:t>Cash and cash equivalents - continuing operations, beginning of period</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7,483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5,059</w:t>
            </w:r>
          </w:p>
        </w:tc>
        <w:tc>
          <w:tcPr>
            <w:tcW w:w="113" w:type="dxa"/>
            <w:tcBorders/>
            <w:shd w:fill="FFFFFF" w:val="clear"/>
            <w:vAlign w:val="center"/>
          </w:tcPr>
          <w:p>
            <w:pPr>
              <w:pStyle w:val="TableContents"/>
              <w:bidi w:val="0"/>
              <w:spacing w:before="0" w:after="283"/>
              <w:jc w:val="left"/>
              <w:rPr/>
            </w:pPr>
            <w:r>
              <w:rPr/>
              <w:t> </w:t>
            </w:r>
          </w:p>
        </w:tc>
      </w:tr>
      <w:tr>
        <w:trPr/>
        <w:tc>
          <w:tcPr>
            <w:tcW w:w="8225" w:type="dxa"/>
            <w:tcBorders/>
            <w:shd w:fill="CCEEFF" w:val="clear"/>
            <w:vAlign w:val="center"/>
          </w:tcPr>
          <w:p>
            <w:pPr>
              <w:pStyle w:val="TableContents"/>
              <w:bidi w:val="0"/>
              <w:spacing w:before="0" w:after="283"/>
              <w:jc w:val="left"/>
              <w:rPr/>
            </w:pPr>
            <w:r>
              <w:rPr/>
              <w:t>Total 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9,189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6,069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Business, basis of presentation, new accounting standards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 a Nevada corporation, and its consolidated subsidiaries are referred to collectively in this Quarterly Report on Form 10-Q (“10-Q Report”) as “TherapeuticsMD,” “we,” “our” and “us.” This 10-Q Report includes trademarks, trade names and service marks, such as TherapeuticsMD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vitaMedMD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BocaGreenMD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IMVEXXY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BIJUVA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which are protected under applicable intellectual property laws and are the property of, or licensed by, or to, us. Solely for convenience, trademarks, trade names and service marks referred to in this 10-Q Report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Assets and liabilities associated with the commercial business are classified as assets and liabilities of discontinued operations in our condensed consolidated balance sheets. Additional disclosures regarding discontinued operations are provided in Note 2 of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31, 2022. Severance obligations for all employees other than executive officers were paid in full in January 2023 and severance obligations for terminated executive officers have been paid in accordance with their employment agreements and separation agreements as previously disclosed. As of June 30, 2026, we employed one full-time employee primarily engaged in an executive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the first six months of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 On May 20, 2026, the court overruled our objections and ordered the parties to submit the net working capital claims to a dispute resolution process set forth in the Transaction Agreement while the case is stayed pending the expert determination of the dispute resolution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As of June 30, 2026,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June 30, 2026, we believed no additional accrual was required for such claims, as we could not reasonably estimate a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prepared the condensed consolidated financial statements included in this 10-Q Report following the requirements of the United States (“U.S.”) Securities and Exchange Commission (“SEC”) for interim reporting. As permitted under those rules, certain notes or other financial information that are normally required by accounting principles generally accepted in the U.S. (“U.S. GAAP”) for complete financial statements can be condensed or omitted. However, except as disclosed herein, there has been no material change in the information disclosed in the notes included in our 2025 Annual Report on Form 10-K/A, filed with the SEC on April 1, 2026 (the “2025 10-K/A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as a result of the Mayne Transaction, all results associated with former commercial operations have been reflected as discontinued operations in the condensed consolidated financial statements. Assets and liabilities associated with the commercial business are classified as assets and liabilities of discontinued operations in the condensed consolidated balance sheets. Additional disclosures regarding discontinued operations are provided in Note 2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expenses, assets, liabilities, and equities can vary during each quarter of the year. Therefore, the results and trends in these interim financial statements may not be representative of those for the full year. In our opinion, all adjustments necessary for a fair presentation of the financial statements, which are of a normal and recurring nature, have been made for the interim periods reported. The information included in this 10-Q Report should be read in conjunction with the consolidated financial statements and accompanying notes included in our 2025 10-K/A Report. Certain amounts in the condensed consolidated financial statements and accompanying notes may not add due to rounding, and all percentages have been calculated using unrounded amounts. Certain prior period amounts have been revised and reclassified to conform to current-period presentation and are not material to the consolidated financial statements. These revisions and reclassifications primarily relate to the presentation of sublease income and the separate presentation of interest income and interest expense. These reclassifications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 – Adopted During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adopted the Financial Accounting Standards Board (“FASB”) issued Accounting Standards Update (“ASU”) No. 2025-05, “</w:t>
      </w:r>
      <w:r>
        <w:rPr>
          <w:rFonts w:ascii="Times New Roman;Times;Serif" w:hAnsi="Times New Roman;Times;Serif"/>
          <w:b w:val="false"/>
          <w:i/>
          <w:caps w:val="false"/>
          <w:smallCaps w:val="false"/>
          <w:sz w:val="20"/>
        </w:rPr>
        <w:t xml:space="preserve">Financial Instruments-Credit Losses (Topic 326): Measurement of Credit Losses for Accounts Receivable and Contract Assets.” </w:t>
      </w:r>
      <w:r>
        <w:rPr>
          <w:rFonts w:ascii="Times New Roman;Times;Serif" w:hAnsi="Times New Roman;Times;Serif"/>
          <w:b w:val="false"/>
          <w:i w:val="false"/>
          <w:caps w:val="false"/>
          <w:smallCaps w:val="false"/>
          <w:sz w:val="20"/>
        </w:rPr>
        <w:t> In connection with the adoption of ASU 2025-05, we elected the practical expedient which allows entities to assume that the current conditions applied in determining credit loss allowances remain unchanged for the remaining life of those assets. We applied this guidance prospectively, and the adoption did not have a material impact on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(Topic 220): Disaggregation of Income Statement Expenses.” The ASU requires additional disclosures by disaggregating the costs and expense line items that are presented on the face of the income statement. The disaggregation includes: (i) amounts of purchased inventory, employee compensation, depreciation, amortization, and other related costs and expenses; (ii) an explanation of costs and expenses that are not disaggregated on a quantitative basis; and (iii) the definition and total amount of selling expenses. ASU No. 2024-03 is effective for our Annual Report on Form 10-K beginning in 2027 and subsequent interim reports. Early adoption is permitted. The ASU should be applied prospectively. Retrospective application is permitted for all prior periods presented in the financial statements. We are evaluating the impact of ASU No. 2024-03 on our financial reporting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Narrow-Scope Improvements.” ASU No. 2025-11 has three primary objectives: to specify the form and content choices for interim financial statements and accompanying notes; to incorporate a comprehensive list of required interim disclosures; and to introduce a disclosure principle requiring entities to disclose events since the end of the previous annual reporting period that have a material impact on the entity. The amendments are not intended to change the fundamental nature of interim reporting or expand or reduce current interim disclosure requirements. The requirements of ASU No. 2025-11 are effective for public business entities for interim reporting periods within annual reporting periods beginning after December 15, 2027. Early adoption is permitted. The amendments may be applied either prospectively or retrospectively. For us, the requirements of ASU No. 2025-11 will be effective beginning in the first quarter of 2028. We do not expect a material change as a result of ASU No. 2025-11.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condensed consolidated financial statements in conformity with U.S. GAAP requires us to make certain estimates and assumptions that affect the reported amounts of assets and liabilities, disclosure of contingent assets and liabilities at the date of the condensed consolidated financial statements and the reported amounts of revenue and expenses during the reporting periods. We evaluate our estimates and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may differ, at times in material amounts,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we use for quarterly financial reporting are disclosed in Note 1 of the notes to the consolidated financial statements included in our 2025 10-K/A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we changed our business in 2022 by licensing our products to receive royalties and future sales related milestone payments, after granting an exclusive license to commercialize our IMVEXXY, BIJUVA, and prescription prenatal vitamin products sold under the BocaGreenMD and vitaMedMD brands in the United States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represented a strategic shift having a major effect on our operations and financial results. Upon our conversion from a commercial pharmaceutical company to a licensing only company with the consummation of the Mayne Transaction, we classified all direct revenues, costs and expenses related to commercial operations, within income (loss) from discontinued operations, net of tax, in the condensed consolidated statements of operations for all periods presented. We have not allocated any amounts for shared general and administrative operating support expense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related liabilities have been reported as liabilities of discontinued operations in our condensed consolidated balance sheets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acquisition of net working capital by Mayne Pharma was determined in accordance with the Transaction Agreement and included significant estimates which could change materially for a period of up to two years following the Closing Date. Our estimate of net working capital at closing was determined in accordance with the Transaction Agreement which establishes the process for the determination of final net working capital. Refer to Note 6 for a further discussion of net working capital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results of discontinued operations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95"/>
        <w:gridCol w:w="60"/>
        <w:gridCol w:w="336"/>
        <w:gridCol w:w="509"/>
        <w:gridCol w:w="224"/>
        <w:gridCol w:w="141"/>
        <w:gridCol w:w="336"/>
        <w:gridCol w:w="509"/>
        <w:gridCol w:w="95"/>
        <w:gridCol w:w="60"/>
        <w:gridCol w:w="231"/>
        <w:gridCol w:w="553"/>
        <w:gridCol w:w="157"/>
        <w:gridCol w:w="98"/>
        <w:gridCol w:w="231"/>
        <w:gridCol w:w="553"/>
        <w:gridCol w:w="117"/>
      </w:tblGrid>
      <w:tr>
        <w:trPr/>
        <w:tc>
          <w:tcPr>
            <w:tcW w:w="5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3"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7" w:type="dxa"/>
            <w:tcBorders/>
            <w:vAlign w:val="center"/>
          </w:tcPr>
          <w:p>
            <w:pPr>
              <w:pStyle w:val="TableContents"/>
              <w:bidi w:val="0"/>
              <w:spacing w:before="0" w:after="283"/>
              <w:jc w:val="left"/>
              <w:rPr/>
            </w:pPr>
            <w:r>
              <w:rPr/>
              <w:t> </w:t>
            </w:r>
          </w:p>
        </w:tc>
      </w:tr>
      <w:tr>
        <w:trPr/>
        <w:tc>
          <w:tcPr>
            <w:tcW w:w="5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224"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5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7" w:type="dxa"/>
            <w:tcBorders/>
            <w:vAlign w:val="center"/>
          </w:tcPr>
          <w:p>
            <w:pPr>
              <w:pStyle w:val="TableContents"/>
              <w:bidi w:val="0"/>
              <w:spacing w:before="0" w:after="283"/>
              <w:jc w:val="left"/>
              <w:rPr/>
            </w:pPr>
            <w:r>
              <w:rPr/>
              <w:t> </w:t>
            </w:r>
          </w:p>
        </w:tc>
      </w:tr>
      <w:tr>
        <w:trPr/>
        <w:tc>
          <w:tcPr>
            <w:tcW w:w="599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224"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5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17" w:type="dxa"/>
            <w:tcBorders/>
            <w:shd w:fill="CCEEFF" w:val="clear"/>
            <w:vAlign w:val="center"/>
          </w:tcPr>
          <w:p>
            <w:pPr>
              <w:pStyle w:val="TableContents"/>
              <w:bidi w:val="0"/>
              <w:spacing w:before="0" w:after="283"/>
              <w:jc w:val="left"/>
              <w:rPr/>
            </w:pPr>
            <w:r>
              <w:rPr/>
              <w:t> </w:t>
            </w:r>
          </w:p>
        </w:tc>
      </w:tr>
      <w:tr>
        <w:trPr/>
        <w:tc>
          <w:tcPr>
            <w:tcW w:w="599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9"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224"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3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9"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57"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7" w:type="dxa"/>
            <w:tcBorders/>
            <w:shd w:fill="FFFFFF" w:val="clear"/>
            <w:vAlign w:val="center"/>
          </w:tcPr>
          <w:p>
            <w:pPr>
              <w:pStyle w:val="TableContents"/>
              <w:bidi w:val="0"/>
              <w:spacing w:before="0" w:after="283"/>
              <w:jc w:val="left"/>
              <w:rPr/>
            </w:pPr>
            <w:r>
              <w:rPr/>
              <w:t> </w:t>
            </w:r>
          </w:p>
        </w:tc>
      </w:tr>
      <w:tr>
        <w:trPr/>
        <w:tc>
          <w:tcPr>
            <w:tcW w:w="5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income from discontinued operations</w:t>
            </w:r>
          </w:p>
        </w:tc>
        <w:tc>
          <w:tcPr>
            <w:tcW w:w="6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224" w:type="dxa"/>
            <w:tcBorders/>
            <w:shd w:fill="CCEEFF" w:val="clear"/>
            <w:vAlign w:val="center"/>
          </w:tcPr>
          <w:p>
            <w:pPr>
              <w:pStyle w:val="TableContents"/>
              <w:bidi w:val="0"/>
              <w:spacing w:before="0" w:after="283"/>
              <w:jc w:val="left"/>
              <w:rPr/>
            </w:pPr>
            <w:r>
              <w:rPr/>
              <w:t>)</w:t>
            </w:r>
          </w:p>
        </w:tc>
        <w:tc>
          <w:tcPr>
            <w:tcW w:w="141"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5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17" w:type="dxa"/>
            <w:tcBorders/>
            <w:shd w:fill="CCEEFF" w:val="clear"/>
            <w:vAlign w:val="center"/>
          </w:tcPr>
          <w:p>
            <w:pPr>
              <w:pStyle w:val="TableContents"/>
              <w:bidi w:val="0"/>
              <w:spacing w:before="0" w:after="283"/>
              <w:jc w:val="left"/>
              <w:rPr/>
            </w:pPr>
            <w:r>
              <w:rPr/>
              <w:t>)</w:t>
            </w:r>
          </w:p>
        </w:tc>
      </w:tr>
      <w:tr>
        <w:trPr/>
        <w:tc>
          <w:tcPr>
            <w:tcW w:w="5995" w:type="dxa"/>
            <w:tcBorders/>
            <w:shd w:fill="FFFFFF" w:val="clear"/>
            <w:vAlign w:val="center"/>
          </w:tcPr>
          <w:p>
            <w:pPr>
              <w:pStyle w:val="TableContents"/>
              <w:bidi w:val="0"/>
              <w:spacing w:before="0" w:after="0"/>
              <w:ind w:left="0" w:right="0" w:hanging="0"/>
              <w:jc w:val="left"/>
              <w:rPr/>
            </w:pPr>
            <w:r>
              <w:rPr/>
              <w:t>(Loss) income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3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9"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224" w:type="dxa"/>
            <w:tcBorders/>
            <w:shd w:fill="FFFFFF" w:val="clear"/>
            <w:vAlign w:val="center"/>
          </w:tcPr>
          <w:p>
            <w:pPr>
              <w:pStyle w:val="TableContents"/>
              <w:bidi w:val="0"/>
              <w:spacing w:before="0" w:after="283"/>
              <w:jc w:val="left"/>
              <w:rPr/>
            </w:pPr>
            <w:r>
              <w:rPr/>
              <w:t>)</w:t>
            </w:r>
          </w:p>
        </w:tc>
        <w:tc>
          <w:tcPr>
            <w:tcW w:w="141" w:type="dxa"/>
            <w:tcBorders/>
            <w:shd w:fill="FFFFFF" w:val="clear"/>
            <w:vAlign w:val="center"/>
          </w:tcPr>
          <w:p>
            <w:pPr>
              <w:pStyle w:val="TableContents"/>
              <w:bidi w:val="0"/>
              <w:spacing w:before="0" w:after="283"/>
              <w:jc w:val="left"/>
              <w:rPr/>
            </w:pPr>
            <w:r>
              <w:rPr/>
              <w:t> </w:t>
            </w:r>
          </w:p>
        </w:tc>
        <w:tc>
          <w:tcPr>
            <w:tcW w:w="33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9" w:type="dxa"/>
            <w:tcBorders>
              <w:bottom w:val="double" w:sz="10"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pPr>
            <w:r>
              <w:rPr/>
              <w:t>(17</w:t>
            </w:r>
          </w:p>
        </w:tc>
        <w:tc>
          <w:tcPr>
            <w:tcW w:w="157"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2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pPr>
            <w:r>
              <w:rPr/>
              <w:t>(11</w:t>
            </w:r>
          </w:p>
        </w:tc>
        <w:tc>
          <w:tcPr>
            <w:tcW w:w="117"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amounts of the classes of liabilities of discontinued operations as of June 30,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4325"/>
        <w:gridCol w:w="60"/>
        <w:gridCol w:w="163"/>
        <w:gridCol w:w="652"/>
        <w:gridCol w:w="60"/>
        <w:gridCol w:w="60"/>
        <w:gridCol w:w="271"/>
        <w:gridCol w:w="1084"/>
        <w:gridCol w:w="75"/>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pPr>
            <w:r>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2025</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Current liabilities of discontinued operations: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2,667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prepaid and other current assets consisted of the following as of June 30, 2026 and December 31, 2025 (in thousands):</w:t>
      </w:r>
    </w:p>
    <w:p>
      <w:pPr>
        <w:pStyle w:val="TextBody"/>
        <w:bidi w:val="0"/>
        <w:spacing w:before="0" w:after="0"/>
        <w:ind w:left="0" w:right="0" w:hanging="0"/>
        <w:jc w:val="center"/>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3020"/>
        <w:gridCol w:w="60"/>
        <w:gridCol w:w="163"/>
        <w:gridCol w:w="652"/>
        <w:gridCol w:w="60"/>
        <w:gridCol w:w="60"/>
        <w:gridCol w:w="271"/>
        <w:gridCol w:w="1084"/>
        <w:gridCol w:w="75"/>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pPr>
            <w:r>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2025</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89</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Capitalized legal</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2,334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2,334</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Rent receivable</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672</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pPr>
            <w:r>
              <w:rPr/>
              <w:t>342</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3,538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4" w:type="dxa"/>
            <w:tcBorders>
              <w:bottom w:val="double" w:sz="10" w:space="0" w:color="000000"/>
            </w:tcBorders>
            <w:shd w:fill="CCEEFF" w:val="clear"/>
            <w:tcMar>
              <w:bottom w:w="28" w:type="dxa"/>
            </w:tcMar>
            <w:vAlign w:val="center"/>
          </w:tcPr>
          <w:p>
            <w:pPr>
              <w:pStyle w:val="TableContents"/>
              <w:bidi w:val="0"/>
              <w:spacing w:before="0" w:after="283"/>
              <w:jc w:val="right"/>
              <w:rPr/>
            </w:pPr>
            <w:r>
              <w:rPr/>
              <w:t>3,437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Licensed rights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information about our license rights and other intangible assets, net as of June 30,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9"/>
        <w:gridCol w:w="60"/>
        <w:gridCol w:w="259"/>
        <w:gridCol w:w="1036"/>
        <w:gridCol w:w="60"/>
        <w:gridCol w:w="60"/>
        <w:gridCol w:w="334"/>
        <w:gridCol w:w="1336"/>
        <w:gridCol w:w="60"/>
        <w:gridCol w:w="60"/>
        <w:gridCol w:w="140"/>
        <w:gridCol w:w="560"/>
        <w:gridCol w:w="60"/>
        <w:gridCol w:w="60"/>
        <w:gridCol w:w="259"/>
        <w:gridCol w:w="1036"/>
        <w:gridCol w:w="60"/>
        <w:gridCol w:w="60"/>
        <w:gridCol w:w="334"/>
        <w:gridCol w:w="1336"/>
        <w:gridCol w:w="60"/>
        <w:gridCol w:w="60"/>
        <w:gridCol w:w="140"/>
        <w:gridCol w:w="560"/>
        <w:gridCol w:w="76"/>
      </w:tblGrid>
      <w:tr>
        <w:trPr/>
        <w:tc>
          <w:tcPr>
            <w:tcW w:w="21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905" w:type="dxa"/>
            <w:gridSpan w:val="10"/>
            <w:tcBorders>
              <w:bottom w:val="single" w:sz="12"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5" w:type="dxa"/>
            <w:gridSpan w:val="10"/>
            <w:tcBorders>
              <w:bottom w:val="single" w:sz="12" w:space="0" w:color="000000"/>
            </w:tcBorders>
            <w:tcMar>
              <w:bottom w:w="28" w:type="dxa"/>
            </w:tcMar>
            <w:vAlign w:val="center"/>
          </w:tcPr>
          <w:p>
            <w:pPr>
              <w:pStyle w:val="TableContents"/>
              <w:bidi w:val="0"/>
              <w:spacing w:before="0" w:after="283"/>
              <w:jc w:val="center"/>
              <w:rPr/>
            </w:pPr>
            <w:r>
              <w:rPr/>
              <w:t>December 31, 2025</w:t>
            </w:r>
          </w:p>
        </w:tc>
        <w:tc>
          <w:tcPr>
            <w:tcW w:w="76" w:type="dxa"/>
            <w:tcBorders/>
            <w:vAlign w:val="center"/>
          </w:tcPr>
          <w:p>
            <w:pPr>
              <w:pStyle w:val="TableContents"/>
              <w:bidi w:val="0"/>
              <w:spacing w:before="0" w:after="283"/>
              <w:ind w:left="0" w:right="0" w:hanging="180"/>
              <w:jc w:val="left"/>
              <w:rPr/>
            </w:pPr>
            <w:r>
              <w:rPr/>
              <w:t> </w:t>
            </w:r>
          </w:p>
        </w:tc>
      </w:tr>
      <w:tr>
        <w:trPr/>
        <w:tc>
          <w:tcPr>
            <w:tcW w:w="21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pPr>
            <w:r>
              <w:rPr/>
              <w:t>Accumulated 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pPr>
            <w:r>
              <w:rPr/>
              <w:t>Accumulated 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76" w:type="dxa"/>
            <w:tcBorders/>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Intangible assets subject to amortization: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Hormone therapy drug patents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5,716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5,695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3,272</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Hormone therapy drug patents applied</w:t>
              <w:br/>
              <w:t>and pending approval</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180</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3,452</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Intangible assets not subject to amortization: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2139" w:type="dxa"/>
            <w:tcBorders/>
            <w:shd w:fill="CCEEFF" w:val="clear"/>
            <w:vAlign w:val="center"/>
          </w:tcPr>
          <w:p>
            <w:pPr>
              <w:pStyle w:val="TableContents"/>
              <w:bidi w:val="0"/>
              <w:spacing w:before="0" w:after="283"/>
              <w:jc w:val="left"/>
              <w:rPr/>
            </w:pPr>
            <w:r>
              <w:rPr/>
              <w:t>Trademarks/trade name rights</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2139" w:type="dxa"/>
            <w:tcBorders/>
            <w:shd w:fill="FFFFFF" w:val="clear"/>
            <w:vAlign w:val="center"/>
          </w:tcPr>
          <w:p>
            <w:pPr>
              <w:pStyle w:val="TableContents"/>
              <w:bidi w:val="0"/>
              <w:spacing w:before="0" w:after="283"/>
              <w:jc w:val="left"/>
              <w:rPr/>
            </w:pPr>
            <w:r>
              <w:rPr/>
              <w:t>License rights and other intangible assets, net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6,171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6" w:type="dxa"/>
            <w:tcBorders>
              <w:bottom w:val="double" w:sz="10" w:space="0" w:color="000000"/>
            </w:tcBorders>
            <w:shd w:fill="FFFFFF" w:val="clear"/>
            <w:tcMar>
              <w:bottom w:w="28" w:type="dxa"/>
            </w:tcMar>
            <w:vAlign w:val="center"/>
          </w:tcPr>
          <w:p>
            <w:pPr>
              <w:pStyle w:val="TableContents"/>
              <w:bidi w:val="0"/>
              <w:spacing w:before="0" w:after="283"/>
              <w:jc w:val="right"/>
              <w:rPr/>
            </w:pPr>
            <w:r>
              <w:rPr/>
              <w:t>2,612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6,184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36" w:type="dxa"/>
            <w:tcBorders>
              <w:bottom w:val="double" w:sz="10" w:space="0" w:color="000000"/>
            </w:tcBorders>
            <w:shd w:fill="FFFFFF" w:val="clear"/>
            <w:tcMar>
              <w:bottom w:w="28" w:type="dxa"/>
            </w:tcMar>
            <w:vAlign w:val="center"/>
          </w:tcPr>
          <w:p>
            <w:pPr>
              <w:pStyle w:val="TableContents"/>
              <w:bidi w:val="0"/>
              <w:spacing w:before="0" w:after="283"/>
              <w:jc w:val="right"/>
              <w:rPr/>
            </w:pPr>
            <w:r>
              <w:rPr/>
              <w:t>2,423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3,761</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recorded, in continuing operations, amortization expense related to patents of $95 thousand and $96 thousand for the three months ended June 30, 2026 and 2025, respectively, and $189 thousand and $191 thousand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 regular reviews of our individual patents and patent portfolios. As a result of this review, we recognized write-offs of patents pending approval of $13 thousand and $0 for the three months ended June 30, 2026 and 2025 respectively, and we recognized $13 thousand and $88 thousand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subject to amortization are expected to be amortized as follows (in thousands):</w:t>
      </w:r>
    </w:p>
    <w:p>
      <w:pPr>
        <w:pStyle w:val="TextBody"/>
        <w:bidi w:val="0"/>
        <w:spacing w:before="0" w:after="0"/>
        <w:ind w:left="0" w:right="0" w:hanging="0"/>
        <w:jc w:val="center"/>
        <w:rPr>
          <w:caps w:val="false"/>
          <w:smallCaps w:val="false"/>
        </w:rPr>
      </w:pPr>
      <w:r>
        <w:rPr>
          <w:caps w:val="false"/>
          <w:smallCaps w:val="false"/>
        </w:rPr>
        <w:t> </w:t>
      </w:r>
    </w:p>
    <w:tbl>
      <w:tblPr>
        <w:tblW w:w="3435" w:type="dxa"/>
        <w:jc w:val="left"/>
        <w:tblInd w:w="0" w:type="dxa"/>
        <w:tblLayout w:type="fixed"/>
        <w:tblCellMar>
          <w:top w:w="0" w:type="dxa"/>
          <w:left w:w="0" w:type="dxa"/>
          <w:bottom w:w="28" w:type="dxa"/>
          <w:right w:w="0" w:type="dxa"/>
        </w:tblCellMar>
      </w:tblPr>
      <w:tblGrid>
        <w:gridCol w:w="2600"/>
        <w:gridCol w:w="60"/>
        <w:gridCol w:w="140"/>
        <w:gridCol w:w="560"/>
        <w:gridCol w:w="75"/>
      </w:tblGrid>
      <w:tr>
        <w:trPr/>
        <w:tc>
          <w:tcPr>
            <w:tcW w:w="2600" w:type="dxa"/>
            <w:tcBorders>
              <w:bottom w:val="single" w:sz="12" w:space="0" w:color="000000"/>
            </w:tcBorders>
            <w:vAlign w:val="center"/>
          </w:tcPr>
          <w:p>
            <w:pPr>
              <w:pStyle w:val="TableContents"/>
              <w:bidi w:val="0"/>
              <w:spacing w:before="0" w:after="283"/>
              <w:jc w:val="left"/>
              <w:rPr/>
            </w:pPr>
            <w:r>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775" w:type="dxa"/>
            <w:gridSpan w:val="3"/>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194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383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560" w:type="dxa"/>
            <w:tcBorders>
              <w:bottom w:val="single" w:sz="12" w:space="0" w:color="000000"/>
            </w:tcBorders>
            <w:shd w:fill="FFFFFF" w:val="clear"/>
            <w:vAlign w:val="center"/>
          </w:tcPr>
          <w:p>
            <w:pPr>
              <w:pStyle w:val="TableContents"/>
              <w:bidi w:val="0"/>
              <w:spacing w:before="0" w:after="283"/>
              <w:jc w:val="right"/>
              <w:rPr/>
            </w:pPr>
            <w:r>
              <w:rPr/>
              <w:t>1,377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560" w:type="dxa"/>
            <w:tcBorders>
              <w:bottom w:val="double" w:sz="10" w:space="0" w:color="000000"/>
            </w:tcBorders>
            <w:shd w:fill="CCEEFF" w:val="clear"/>
            <w:vAlign w:val="center"/>
          </w:tcPr>
          <w:p>
            <w:pPr>
              <w:pStyle w:val="TableContents"/>
              <w:bidi w:val="0"/>
              <w:spacing w:before="0" w:after="283"/>
              <w:jc w:val="right"/>
              <w:rPr/>
            </w:pPr>
            <w:r>
              <w:rPr/>
              <w:t>3,104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other current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4325"/>
        <w:gridCol w:w="60"/>
        <w:gridCol w:w="163"/>
        <w:gridCol w:w="652"/>
        <w:gridCol w:w="60"/>
        <w:gridCol w:w="60"/>
        <w:gridCol w:w="271"/>
        <w:gridCol w:w="1084"/>
        <w:gridCol w:w="75"/>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pPr>
            <w:r>
              <w:rPr/>
              <w:t>June 30,</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2025</w:t>
            </w:r>
          </w:p>
        </w:tc>
        <w:tc>
          <w:tcPr>
            <w:tcW w:w="75" w:type="dxa"/>
            <w:tcBorders/>
            <w:vAlign w:val="center"/>
          </w:tcPr>
          <w:p>
            <w:pPr>
              <w:pStyle w:val="TableContents"/>
              <w:bidi w:val="0"/>
              <w:spacing w:before="0" w:after="283"/>
              <w:jc w:val="center"/>
              <w:rPr/>
            </w:pPr>
            <w:r>
              <w:rPr/>
              <w:t> </w:t>
            </w:r>
          </w:p>
        </w:tc>
      </w:tr>
      <w:tr>
        <w:trPr/>
        <w:tc>
          <w:tcPr>
            <w:tcW w:w="4325" w:type="dxa"/>
            <w:tcBorders/>
            <w:shd w:fill="CCEEFF" w:val="clear"/>
            <w:vAlign w:val="center"/>
          </w:tcPr>
          <w:p>
            <w:pPr>
              <w:pStyle w:val="TableContents"/>
              <w:bidi w:val="0"/>
              <w:spacing w:before="0" w:after="283"/>
              <w:jc w:val="left"/>
              <w:rPr/>
            </w:pPr>
            <w:r>
              <w:rPr/>
              <w:t>Payroll and related costs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310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265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1,039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975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accrued expenses and current liabilities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12" w:space="0" w:color="000000"/>
            </w:tcBorders>
            <w:shd w:fill="FFFFFF" w:val="clear"/>
            <w:tcMar>
              <w:bottom w:w="28" w:type="dxa"/>
            </w:tcMar>
            <w:vAlign w:val="center"/>
          </w:tcPr>
          <w:p>
            <w:pPr>
              <w:pStyle w:val="TableContents"/>
              <w:bidi w:val="0"/>
              <w:spacing w:before="0" w:after="283"/>
              <w:jc w:val="right"/>
              <w:rPr/>
            </w:pPr>
            <w:r>
              <w:rPr/>
              <w:t>191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1,876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4" w:type="dxa"/>
            <w:tcBorders>
              <w:bottom w:val="double" w:sz="10" w:space="0" w:color="000000"/>
            </w:tcBorders>
            <w:shd w:fill="CCEEFF" w:val="clear"/>
            <w:tcMar>
              <w:bottom w:w="28" w:type="dxa"/>
            </w:tcMar>
            <w:vAlign w:val="center"/>
          </w:tcPr>
          <w:p>
            <w:pPr>
              <w:pStyle w:val="TableContents"/>
              <w:bidi w:val="0"/>
              <w:spacing w:before="0" w:after="283"/>
              <w:jc w:val="right"/>
              <w:rPr/>
            </w:pPr>
            <w:r>
              <w:rPr/>
              <w:t>1,741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Mayne Pharma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were adjusted to arrive at final net working capital under the Transaction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2023, we increased certain accrual estimates including increasing our working capital adjustment accrual by $2.0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 Of the $5.5 million, $2.0 million increased the allowance for net working capital allowances remaining to be trued up.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 On May 20, 2026, the court overruled our objections and ordered the parties to submit the net working capital claims to a dispute resolution process set forth in the Transaction Agreement while the case is stayed pending the expert determination of the dispute resolution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On July 28, 2025, we filed a motion to dismiss the Mayne Countersuit. On March 23, 2026, a magistrate judge recommended that the court grant our motion to dismiss Mayne Pharma’s claim for fraudulent inducement, but recommended the court deny our motion to dismiss Mayne Pharma’s other claims. As of June 30, 2026,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June 30, 2026, we believed no additional accrual was required for such claims, as we could not reasonably estimate a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June 30, 2026,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condensed consolidated balance sheets, and such costs will be amortized over the remaining useful life of the patents. If Mayne Pharma is unsuccessful in this legal proceeding, then the related capitalized legal costs for this legal preceding and any unamortized IMVEXXY patent costs that were previously capitalized will be immediately expensed in the period in which we become aware of an unsuccessful legal proceeding.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a Paragraph IV certification notice letter (the “Sun Notice Letter”) regarding an ANDA submitted to the FDA by Sun Pharma Inc.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June 30, 2026, the litigation remains ongoing and has progressed to claim construction, which the courts determine the meaning and scope of the asserted patent claims that will govern subsequent infringement and validity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We are seeking, among other relief, money damages for all of Mayne Pharma’s profits arising from their unlawful conduct and for any injury sustained by us as a result of Mayne Pharma’s unlawful conduct.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 On May 20, 2026, the court overruled our objections and ordered the parties to submit the net working capital claims to a dispute resolution process set forth in the Transaction Agreement while the case is stayed pending the expert determination of the dispute resolution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On July 28, 2025, we filed a motion to dismiss the Mayne Countersuit. On March 23, 2026, a magistrate judge recommended that the court grant our motion to dismiss Mayne Pharma’s claim for fraudulent inducement, but recommended the court deny our motion to dismiss Mayne Pharma’s other claims. As of June 30, 2026,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condensed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there were no off-balance sheet arrangements that have had or are reasonably likely to have current or future effects on our financial condition, changes in financial condition, revenues or expenses, results of operations, liquidity, capital expenditures or capital resources that we consider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30, 2022. Severance obligations for all employees other than executive officers were paid in full in the first quarter of 2023, and severance obligations for executive officers were paid out by the end of the first quarter of 2025. As of June 30, 2026,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following table summarizes the status of our outstanding and exercisable warrants and related transactions since December 31, 2025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3305"/>
        <w:gridCol w:w="60"/>
        <w:gridCol w:w="164"/>
        <w:gridCol w:w="711"/>
        <w:gridCol w:w="88"/>
        <w:gridCol w:w="88"/>
        <w:gridCol w:w="205"/>
        <w:gridCol w:w="822"/>
        <w:gridCol w:w="88"/>
        <w:gridCol w:w="88"/>
        <w:gridCol w:w="215"/>
        <w:gridCol w:w="795"/>
        <w:gridCol w:w="88"/>
        <w:gridCol w:w="88"/>
        <w:gridCol w:w="176"/>
        <w:gridCol w:w="939"/>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5" w:type="dxa"/>
            <w:gridSpan w:val="14"/>
            <w:tcBorders>
              <w:bottom w:val="single" w:sz="12" w:space="0" w:color="000000"/>
            </w:tcBorders>
            <w:tcMar>
              <w:bottom w:w="28" w:type="dxa"/>
            </w:tcMar>
            <w:vAlign w:val="center"/>
          </w:tcPr>
          <w:p>
            <w:pPr>
              <w:pStyle w:val="TableContents"/>
              <w:bidi w:val="0"/>
              <w:spacing w:before="0" w:after="283"/>
              <w:jc w:val="center"/>
              <w:rPr/>
            </w:pPr>
            <w:r>
              <w:rPr/>
              <w:t>Warrants outstanding and exercisable</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pPr>
            <w:r>
              <w:rPr/>
              <w:t>Warrants</w:t>
            </w:r>
          </w:p>
        </w:tc>
        <w:tc>
          <w:tcPr>
            <w:tcW w:w="88"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027"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88"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88"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Remaining</w:t>
              <w:br/>
              <w:t>Contractual</w:t>
              <w:br/>
              <w:t>Life</w:t>
              <w:br/>
              <w:t>(in Years)</w:t>
            </w:r>
          </w:p>
        </w:tc>
        <w:tc>
          <w:tcPr>
            <w:tcW w:w="75" w:type="dxa"/>
            <w:tcBorders/>
            <w:vAlign w:val="center"/>
          </w:tcPr>
          <w:p>
            <w:pPr>
              <w:pStyle w:val="TableContents"/>
              <w:bidi w:val="0"/>
              <w:spacing w:before="0" w:after="283"/>
              <w:jc w:val="center"/>
              <w:rPr/>
            </w:pPr>
            <w:r>
              <w:rPr/>
              <w:t> </w:t>
            </w:r>
          </w:p>
        </w:tc>
      </w:tr>
      <w:tr>
        <w:trPr/>
        <w:tc>
          <w:tcPr>
            <w:tcW w:w="330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22" w:type="dxa"/>
            <w:tcBorders>
              <w:bottom w:val="single" w:sz="12" w:space="0" w:color="000000"/>
            </w:tcBorders>
            <w:shd w:fill="CCEEFF" w:val="clear"/>
            <w:tcMar>
              <w:bottom w:w="28" w:type="dxa"/>
            </w:tcMar>
            <w:vAlign w:val="center"/>
          </w:tcPr>
          <w:p>
            <w:pPr>
              <w:pStyle w:val="TableContents"/>
              <w:bidi w:val="0"/>
              <w:spacing w:before="0" w:after="283"/>
              <w:jc w:val="right"/>
              <w:rPr/>
            </w:pPr>
            <w:r>
              <w:rPr/>
              <w:t>63.33</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4.6</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1" w:type="dxa"/>
            <w:tcBorders>
              <w:bottom w:val="double" w:sz="10" w:space="0" w:color="000000"/>
            </w:tcBorders>
            <w:shd w:fill="FFFFFF" w:val="clear"/>
            <w:tcMar>
              <w:bottom w:w="28" w:type="dxa"/>
            </w:tcMar>
            <w:vAlign w:val="center"/>
          </w:tcPr>
          <w:p>
            <w:pPr>
              <w:pStyle w:val="TableContents"/>
              <w:bidi w:val="0"/>
              <w:spacing w:before="0" w:after="283"/>
              <w:jc w:val="right"/>
              <w:rPr/>
            </w:pPr>
            <w:r>
              <w:rPr/>
              <w:t>98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2" w:type="dxa"/>
            <w:tcBorders>
              <w:bottom w:val="double" w:sz="10" w:space="0" w:color="000000"/>
            </w:tcBorders>
            <w:shd w:fill="FFFFFF" w:val="clear"/>
            <w:tcMar>
              <w:bottom w:w="28" w:type="dxa"/>
            </w:tcMar>
            <w:vAlign w:val="center"/>
          </w:tcPr>
          <w:p>
            <w:pPr>
              <w:pStyle w:val="TableContents"/>
              <w:bidi w:val="0"/>
              <w:spacing w:before="0" w:after="283"/>
              <w:jc w:val="right"/>
              <w:rPr/>
            </w:pPr>
            <w:r>
              <w:rPr/>
              <w:t>63.33</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FFFFFF" w:val="clear"/>
            <w:tcMar>
              <w:bottom w:w="28" w:type="dxa"/>
            </w:tcMar>
            <w:vAlign w:val="center"/>
          </w:tcPr>
          <w:p>
            <w:pPr>
              <w:pStyle w:val="TableContents"/>
              <w:bidi w:val="0"/>
              <w:spacing w:before="0" w:after="283"/>
              <w:jc w:val="right"/>
              <w:rPr/>
            </w:pPr>
            <w:r>
              <w:rPr/>
              <w:t>4.1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130,712 shares of common stock were subject to outstanding awards under our share-based payment award plans and inducement grants. As of June 30, 2026, 429,529 shares of common stock were available for future grants of share-based payment awards under the TherapeuticsMD, Inc. 2019 Stock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outstanding and exercisable options and related transactions since December 31, 2025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2"/>
        <w:gridCol w:w="60"/>
        <w:gridCol w:w="105"/>
        <w:gridCol w:w="665"/>
        <w:gridCol w:w="60"/>
        <w:gridCol w:w="60"/>
        <w:gridCol w:w="187"/>
        <w:gridCol w:w="748"/>
        <w:gridCol w:w="60"/>
        <w:gridCol w:w="60"/>
        <w:gridCol w:w="353"/>
        <w:gridCol w:w="657"/>
        <w:gridCol w:w="60"/>
        <w:gridCol w:w="60"/>
        <w:gridCol w:w="176"/>
        <w:gridCol w:w="939"/>
        <w:gridCol w:w="60"/>
        <w:gridCol w:w="60"/>
        <w:gridCol w:w="105"/>
        <w:gridCol w:w="665"/>
        <w:gridCol w:w="60"/>
        <w:gridCol w:w="60"/>
        <w:gridCol w:w="187"/>
        <w:gridCol w:w="748"/>
        <w:gridCol w:w="60"/>
        <w:gridCol w:w="60"/>
        <w:gridCol w:w="353"/>
        <w:gridCol w:w="657"/>
        <w:gridCol w:w="60"/>
        <w:gridCol w:w="60"/>
        <w:gridCol w:w="234"/>
        <w:gridCol w:w="1248"/>
        <w:gridCol w:w="76"/>
      </w:tblGrid>
      <w:tr>
        <w:trPr/>
        <w:tc>
          <w:tcPr>
            <w:tcW w:w="120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190" w:type="dxa"/>
            <w:gridSpan w:val="14"/>
            <w:tcBorders>
              <w:bottom w:val="single" w:sz="12"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7" w:type="dxa"/>
            <w:gridSpan w:val="14"/>
            <w:tcBorders>
              <w:bottom w:val="single" w:sz="12" w:space="0" w:color="000000"/>
            </w:tcBorders>
            <w:tcMar>
              <w:bottom w:w="28" w:type="dxa"/>
            </w:tcMar>
            <w:vAlign w:val="center"/>
          </w:tcPr>
          <w:p>
            <w:pPr>
              <w:pStyle w:val="TableContents"/>
              <w:bidi w:val="0"/>
              <w:spacing w:before="0" w:after="283"/>
              <w:jc w:val="center"/>
              <w:rPr/>
            </w:pPr>
            <w:r>
              <w:rPr/>
              <w:t>Exercisable</w:t>
            </w:r>
          </w:p>
        </w:tc>
        <w:tc>
          <w:tcPr>
            <w:tcW w:w="76" w:type="dxa"/>
            <w:tcBorders/>
            <w:vAlign w:val="center"/>
          </w:tcPr>
          <w:p>
            <w:pPr>
              <w:pStyle w:val="TableContents"/>
              <w:bidi w:val="0"/>
              <w:spacing w:before="0" w:after="283"/>
              <w:ind w:left="0" w:right="0" w:hanging="180"/>
              <w:jc w:val="left"/>
              <w:rPr/>
            </w:pPr>
            <w:r>
              <w:rPr/>
              <w:t> </w:t>
            </w:r>
          </w:p>
        </w:tc>
      </w:tr>
      <w:tr>
        <w:trPr/>
        <w:tc>
          <w:tcPr>
            <w:tcW w:w="12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pPr>
            <w:r>
              <w:rPr/>
              <w:t>Options</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Remaining</w:t>
              <w:br/>
              <w:t>Contractual</w:t>
              <w:br/>
              <w:t>Life</w:t>
              <w:b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pPr>
            <w:r>
              <w:rPr/>
              <w:t>Options</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2" w:type="dxa"/>
            <w:gridSpan w:val="2"/>
            <w:tcBorders>
              <w:bottom w:val="single" w:sz="12" w:space="0" w:color="000000"/>
            </w:tcBorders>
            <w:tcMar>
              <w:bottom w:w="28" w:type="dxa"/>
            </w:tcMar>
            <w:vAlign w:val="center"/>
          </w:tcPr>
          <w:p>
            <w:pPr>
              <w:pStyle w:val="TableContents"/>
              <w:bidi w:val="0"/>
              <w:spacing w:before="0" w:after="283"/>
              <w:jc w:val="center"/>
              <w:rPr/>
            </w:pPr>
            <w:r>
              <w:rPr/>
              <w:t>Weighted Average Remaining Contractual Life (in Years)</w:t>
            </w:r>
          </w:p>
        </w:tc>
        <w:tc>
          <w:tcPr>
            <w:tcW w:w="76" w:type="dxa"/>
            <w:tcBorders/>
            <w:vAlign w:val="center"/>
          </w:tcPr>
          <w:p>
            <w:pPr>
              <w:pStyle w:val="TableContents"/>
              <w:bidi w:val="0"/>
              <w:spacing w:before="0" w:after="283"/>
              <w:ind w:left="0" w:right="0" w:hanging="180"/>
              <w:jc w:val="left"/>
              <w:rPr/>
            </w:pPr>
            <w:r>
              <w:rPr/>
              <w:t> </w:t>
            </w:r>
          </w:p>
        </w:tc>
      </w:tr>
      <w:tr>
        <w:trPr/>
        <w:tc>
          <w:tcPr>
            <w:tcW w:w="1202"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single" w:sz="12" w:space="0" w:color="000000"/>
            </w:tcBorders>
            <w:shd w:fill="CCEEFF" w:val="clear"/>
            <w:tcMar>
              <w:bottom w:w="28" w:type="dxa"/>
            </w:tcMar>
            <w:vAlign w:val="center"/>
          </w:tcPr>
          <w:p>
            <w:pPr>
              <w:pStyle w:val="TableContents"/>
              <w:bidi w:val="0"/>
              <w:spacing w:before="0" w:after="283"/>
              <w:jc w:val="right"/>
              <w:rPr/>
            </w:pPr>
            <w:r>
              <w:rPr/>
              <w:t>74.05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48" w:type="dxa"/>
            <w:tcBorders>
              <w:bottom w:val="single" w:sz="12" w:space="0" w:color="000000"/>
            </w:tcBorders>
            <w:shd w:fill="CCEEFF" w:val="clear"/>
            <w:tcMar>
              <w:bottom w:w="28" w:type="dxa"/>
            </w:tcMar>
            <w:vAlign w:val="center"/>
          </w:tcPr>
          <w:p>
            <w:pPr>
              <w:pStyle w:val="TableContents"/>
              <w:bidi w:val="0"/>
              <w:spacing w:before="0" w:after="283"/>
              <w:jc w:val="right"/>
              <w:rPr/>
            </w:pPr>
            <w:r>
              <w:rPr/>
              <w:t>74.04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5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8"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1202"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8" w:type="dxa"/>
            <w:tcBorders>
              <w:bottom w:val="double" w:sz="10" w:space="0" w:color="000000"/>
            </w:tcBorders>
            <w:shd w:fill="FFFFFF" w:val="clear"/>
            <w:tcMar>
              <w:bottom w:w="28" w:type="dxa"/>
            </w:tcMar>
            <w:vAlign w:val="center"/>
          </w:tcPr>
          <w:p>
            <w:pPr>
              <w:pStyle w:val="TableContents"/>
              <w:bidi w:val="0"/>
              <w:spacing w:before="0" w:after="283"/>
              <w:jc w:val="right"/>
              <w:rPr/>
            </w:pPr>
            <w:r>
              <w:rPr/>
              <w:t>73.18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FFFFFF" w:val="clear"/>
            <w:tcMar>
              <w:bottom w:w="28" w:type="dxa"/>
            </w:tcM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8" w:type="dxa"/>
            <w:tcBorders>
              <w:bottom w:val="double" w:sz="10" w:space="0" w:color="000000"/>
            </w:tcBorders>
            <w:shd w:fill="FFFFFF" w:val="clear"/>
            <w:tcMar>
              <w:bottom w:w="28" w:type="dxa"/>
            </w:tcMar>
            <w:vAlign w:val="center"/>
          </w:tcPr>
          <w:p>
            <w:pPr>
              <w:pStyle w:val="TableContents"/>
              <w:bidi w:val="0"/>
              <w:spacing w:before="0" w:after="283"/>
              <w:jc w:val="right"/>
              <w:rPr/>
            </w:pPr>
            <w:r>
              <w:rPr/>
              <w:t>73.17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5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8" w:type="dxa"/>
            <w:tcBorders>
              <w:bottom w:val="double" w:sz="10" w:space="0" w:color="000000"/>
            </w:tcBorders>
            <w:shd w:fill="FFFFFF" w:val="clear"/>
            <w:tcMar>
              <w:bottom w:w="28" w:type="dxa"/>
            </w:tcMar>
            <w:vAlign w:val="center"/>
          </w:tcPr>
          <w:p>
            <w:pPr>
              <w:pStyle w:val="TableContents"/>
              <w:bidi w:val="0"/>
              <w:spacing w:before="0" w:after="283"/>
              <w:jc w:val="right"/>
              <w:rPr/>
            </w:pPr>
            <w:r>
              <w:rPr/>
              <w:t>6.8</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RSUs and related transactions since December 31, 2025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3305"/>
        <w:gridCol w:w="60"/>
        <w:gridCol w:w="110"/>
        <w:gridCol w:w="480"/>
        <w:gridCol w:w="80"/>
        <w:gridCol w:w="80"/>
        <w:gridCol w:w="257"/>
        <w:gridCol w:w="812"/>
        <w:gridCol w:w="80"/>
        <w:gridCol w:w="80"/>
        <w:gridCol w:w="202"/>
        <w:gridCol w:w="808"/>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9" w:type="dxa"/>
            <w:gridSpan w:val="10"/>
            <w:tcBorders>
              <w:bottom w:val="single" w:sz="12" w:space="0" w:color="000000"/>
            </w:tcBorders>
            <w:tcMar>
              <w:bottom w:w="28" w:type="dxa"/>
            </w:tcMar>
            <w:vAlign w:val="center"/>
          </w:tcPr>
          <w:p>
            <w:pPr>
              <w:pStyle w:val="TableContents"/>
              <w:bidi w:val="0"/>
              <w:spacing w:before="0" w:after="283"/>
              <w:jc w:val="center"/>
              <w:rPr/>
            </w:pPr>
            <w:r>
              <w:rPr/>
              <w:t>RSUs awards outstanding</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pPr>
            <w:r>
              <w:rPr/>
              <w:t>RSUs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7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5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single" w:sz="12" w:space="0" w:color="000000"/>
            </w:tcBorders>
            <w:shd w:fill="CCEEFF" w:val="clear"/>
            <w:tcMar>
              <w:bottom w:w="28" w:type="dxa"/>
            </w:tcMar>
            <w:vAlign w:val="center"/>
          </w:tcPr>
          <w:p>
            <w:pPr>
              <w:pStyle w:val="TableContents"/>
              <w:bidi w:val="0"/>
              <w:spacing w:before="0" w:after="283"/>
              <w:jc w:val="right"/>
              <w:rPr/>
            </w:pPr>
            <w:r>
              <w:rPr/>
              <w:t>41.57</w:t>
            </w:r>
          </w:p>
        </w:tc>
        <w:tc>
          <w:tcPr>
            <w:tcW w:w="75"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80" w:type="dxa"/>
            <w:tcBorders>
              <w:bottom w:val="double" w:sz="10" w:space="0" w:color="000000"/>
            </w:tcBorders>
            <w:shd w:fill="FFFFFF" w:val="clear"/>
            <w:tcMar>
              <w:bottom w:w="28" w:type="dxa"/>
            </w:tcMar>
            <w:vAlign w:val="center"/>
          </w:tcPr>
          <w:p>
            <w:pPr>
              <w:pStyle w:val="TableContents"/>
              <w:bidi w:val="0"/>
              <w:spacing w:before="0" w:after="283"/>
              <w:jc w:val="right"/>
              <w:rPr/>
            </w:pPr>
            <w:r>
              <w:rPr/>
              <w:t>26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2" w:type="dxa"/>
            <w:tcBorders>
              <w:bottom w:val="double" w:sz="10" w:space="0" w:color="000000"/>
            </w:tcBorders>
            <w:shd w:fill="FFFFFF" w:val="clear"/>
            <w:tcMar>
              <w:bottom w:w="28" w:type="dxa"/>
            </w:tcMar>
            <w:vAlign w:val="center"/>
          </w:tcPr>
          <w:p>
            <w:pPr>
              <w:pStyle w:val="TableContents"/>
              <w:bidi w:val="0"/>
              <w:spacing w:before="0" w:after="283"/>
              <w:jc w:val="right"/>
              <w:rPr/>
            </w:pPr>
            <w:r>
              <w:rPr/>
              <w:t>1.15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8" w:type="dxa"/>
            <w:tcBorders>
              <w:bottom w:val="double" w:sz="10" w:space="0" w:color="000000"/>
            </w:tcBorders>
            <w:shd w:fill="FFFFFF" w:val="clear"/>
            <w:tcMar>
              <w:bottom w:w="28" w:type="dxa"/>
            </w:tcMar>
            <w:vAlign w:val="center"/>
          </w:tcPr>
          <w:p>
            <w:pPr>
              <w:pStyle w:val="TableContents"/>
              <w:bidi w:val="0"/>
              <w:spacing w:before="0" w:after="283"/>
              <w:jc w:val="right"/>
              <w:rPr/>
            </w:pPr>
            <w:r>
              <w:rPr/>
              <w:t>56.36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there were no remaining outstanding PSUs.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 compensation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payment compensation expense for PSUs is based on 100% vesting which was a part of the termination benefits for all employees who were terminated in 2022. We recorded share-based payment award compensation costs related to previously issued options, RSU and PSUs totaling $4 thousand and $1 thousand for the three months ended June 30, 2026 and 2025, respectively, and $6 thousand and $24 thousand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unrecognized compensation costs as of June 30, 2026 of $23 thousand is expected to be recognized as share-based payment award compensation related to unvested RSUs over a weighted average period of 2.3 years. No tax benefit was realized due to historical patterns of net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Mayne License Agreement, Mayne Pharma will make one-time, milestone payments to us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will pay to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will pay to us minimum annual royalties of $3.0 million per year for 12 years, adjusted for inflation at an annual rate of 3%, subject to certain further adjustments. Upon the expiry of the 20-year royalty term, the licenses granted to Mayne Pharma under the Mayne License Agreement will become a fully paid-up and royalty free license for the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Theramex and Knight License Agreements provide for variable consideration in the form of milestone payments upon the achievement of specified product net sales thresholds. In accordance with ASC 606 and the Company’s accounting policy, the Company recognizes milestone revenue in the period in which it receives confirmation from the applicable licensee that the relevant sales threshold has been achieved, at which time the related constraint on variable consideration is resolved. In July 2026, Knight notified the Company that the net sales milestone related to IMVEXXY sales for the year ended December 31, 2025 had been achieved. Accordingly, the Company became entitled to receive a milestone payment of CAD 500.0 thousand, equivalent to $364.8 thousand, and recognized the related license revenue during the three months ended September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pay any significant federal or state income taxes due to net operating loss carry forwards from prior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recorded a full valuation allowance of the net operating income and losses for the three and six months ended June 30, 2026 and 2025. Accordingly, there were no provisions for income taxes for the three and six months ended June 30, 2026 and 2025. Additionally, as of June 30, 2026 and December 31, 2025, we maintain a full valuation allowance for all deferred tax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(loss) per common share for the periods presented (in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82"/>
        <w:gridCol w:w="60"/>
        <w:gridCol w:w="156"/>
        <w:gridCol w:w="758"/>
        <w:gridCol w:w="105"/>
        <w:gridCol w:w="66"/>
        <w:gridCol w:w="156"/>
        <w:gridCol w:w="758"/>
        <w:gridCol w:w="60"/>
        <w:gridCol w:w="60"/>
        <w:gridCol w:w="142"/>
        <w:gridCol w:w="694"/>
        <w:gridCol w:w="96"/>
        <w:gridCol w:w="60"/>
        <w:gridCol w:w="142"/>
        <w:gridCol w:w="694"/>
        <w:gridCol w:w="116"/>
      </w:tblGrid>
      <w:tr>
        <w:trPr/>
        <w:tc>
          <w:tcPr>
            <w:tcW w:w="6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9"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6" w:type="dxa"/>
            <w:tcBorders/>
            <w:vAlign w:val="center"/>
          </w:tcPr>
          <w:p>
            <w:pPr>
              <w:pStyle w:val="TableContents"/>
              <w:bidi w:val="0"/>
              <w:spacing w:before="0" w:after="283"/>
              <w:jc w:val="left"/>
              <w:rPr/>
            </w:pPr>
            <w:r>
              <w:rPr/>
              <w:t> </w:t>
            </w:r>
          </w:p>
        </w:tc>
      </w:tr>
      <w:tr>
        <w:trPr/>
        <w:tc>
          <w:tcPr>
            <w:tcW w:w="60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1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6" w:type="dxa"/>
            <w:tcBorders/>
            <w:vAlign w:val="center"/>
          </w:tcPr>
          <w:p>
            <w:pPr>
              <w:pStyle w:val="TableContents"/>
              <w:bidi w:val="0"/>
              <w:spacing w:before="0" w:after="283"/>
              <w:jc w:val="left"/>
              <w:rPr/>
            </w:pPr>
            <w:r>
              <w:rPr/>
              <w:t> </w:t>
            </w:r>
          </w:p>
        </w:tc>
      </w:tr>
      <w:tr>
        <w:trPr/>
        <w:tc>
          <w:tcPr>
            <w:tcW w:w="6082"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914"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6"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ind w:left="0" w:right="0" w:hanging="180"/>
              <w:jc w:val="left"/>
              <w:rPr/>
            </w:pPr>
            <w:r>
              <w:rPr/>
              <w:t> </w:t>
            </w:r>
          </w:p>
        </w:tc>
      </w:tr>
      <w:tr>
        <w:trPr/>
        <w:tc>
          <w:tcPr>
            <w:tcW w:w="6082"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164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267</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(91</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6082" w:type="dxa"/>
            <w:tcBorders/>
            <w:shd w:fill="FFFFFF" w:val="clear"/>
            <w:vAlign w:val="center"/>
          </w:tcPr>
          <w:p>
            <w:pPr>
              <w:pStyle w:val="TableContents"/>
              <w:bidi w:val="0"/>
              <w:spacing w:before="0" w:after="283"/>
              <w:jc w:val="left"/>
              <w:rPr/>
            </w:pPr>
            <w:r>
              <w:rPr/>
              <w:t>(Loss) income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6082"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155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250</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(102</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6082"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6082" w:type="dxa"/>
            <w:tcBorders/>
            <w:shd w:fill="CCEEFF" w:val="clear"/>
            <w:vAlign w:val="center"/>
          </w:tcPr>
          <w:p>
            <w:pPr>
              <w:pStyle w:val="TableContents"/>
              <w:bidi w:val="0"/>
              <w:spacing w:before="0" w:after="283"/>
              <w:jc w:val="left"/>
              <w:rPr/>
            </w:pPr>
            <w:r>
              <w:rPr/>
              <w:t>Weighted average common shares for basic income (loss) per common share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11,574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11,574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11,574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11,563</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6082"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69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6082" w:type="dxa"/>
            <w:tcBorders/>
            <w:shd w:fill="CCEEFF" w:val="clear"/>
            <w:vAlign w:val="center"/>
          </w:tcPr>
          <w:p>
            <w:pPr>
              <w:pStyle w:val="TableContents"/>
              <w:bidi w:val="0"/>
              <w:spacing w:before="0" w:after="283"/>
              <w:jc w:val="left"/>
              <w:rPr/>
            </w:pPr>
            <w:r>
              <w:rPr/>
              <w:t>Weighted average common shares for diluted income (loss) per common share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11,643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11,574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11,644</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11,563</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60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6082" w:type="dxa"/>
            <w:tcBorders/>
            <w:shd w:fill="CCEEFF" w:val="clear"/>
            <w:vAlign w:val="center"/>
          </w:tcPr>
          <w:p>
            <w:pPr>
              <w:pStyle w:val="TableContents"/>
              <w:bidi w:val="0"/>
              <w:spacing w:before="0" w:after="283"/>
              <w:jc w:val="left"/>
              <w:rPr>
                <w:b/>
              </w:rPr>
            </w:pPr>
            <w:r>
              <w:rPr>
                <w:b/>
              </w:rPr>
              <w:t>Earnings (loss) per common share,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6082"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0.01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758" w:type="dxa"/>
            <w:tcBorders/>
            <w:shd w:fill="FFFFFF" w:val="clear"/>
            <w:vAlign w:val="center"/>
          </w:tcPr>
          <w:p>
            <w:pPr>
              <w:pStyle w:val="TableContents"/>
              <w:bidi w:val="0"/>
              <w:spacing w:before="0" w:after="283"/>
              <w:jc w:val="right"/>
              <w:rPr/>
            </w:pPr>
            <w:r>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694" w:type="dxa"/>
            <w:tcBorders/>
            <w:shd w:fill="FFFFFF" w:val="clear"/>
            <w:vAlign w:val="center"/>
          </w:tcPr>
          <w:p>
            <w:pPr>
              <w:pStyle w:val="TableContents"/>
              <w:bidi w:val="0"/>
              <w:spacing w:before="0" w:after="283"/>
              <w:jc w:val="right"/>
              <w:rPr/>
            </w:pPr>
            <w:r>
              <w:rPr/>
              <w:t>0.02</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694" w:type="dxa"/>
            <w:tcBorders/>
            <w:shd w:fill="FFFFFF" w:val="clear"/>
            <w:vAlign w:val="center"/>
          </w:tcPr>
          <w:p>
            <w:pPr>
              <w:pStyle w:val="TableContents"/>
              <w:bidi w:val="0"/>
              <w:spacing w:before="0" w:after="283"/>
              <w:jc w:val="right"/>
              <w:rPr/>
            </w:pPr>
            <w:r>
              <w:rPr/>
              <w:t>(0.01</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6082"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0.01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0.02</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(0.01</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6082" w:type="dxa"/>
            <w:tcBorders/>
            <w:shd w:fill="FFFFFF" w:val="clear"/>
            <w:vAlign w:val="center"/>
          </w:tcPr>
          <w:p>
            <w:pPr>
              <w:pStyle w:val="TableContents"/>
              <w:bidi w:val="0"/>
              <w:spacing w:before="0" w:after="283"/>
              <w:jc w:val="left"/>
              <w:rPr>
                <w:b/>
              </w:rPr>
            </w:pPr>
            <w:r>
              <w:rPr>
                <w:b/>
              </w:rPr>
              <w:t>Earnings (loss) per common share,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6082"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58" w:type="dxa"/>
            <w:tcBorders/>
            <w:shd w:fill="CCEEFF" w:val="clear"/>
            <w:vAlign w:val="center"/>
          </w:tcPr>
          <w:p>
            <w:pPr>
              <w:pStyle w:val="TableContents"/>
              <w:bidi w:val="0"/>
              <w:spacing w:before="0" w:after="283"/>
              <w:jc w:val="right"/>
              <w:rPr/>
            </w:pPr>
            <w:r>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(0.00</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(0.00</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6082"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(0.00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(0.00</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(0.00</w:t>
            </w:r>
          </w:p>
        </w:tc>
        <w:tc>
          <w:tcPr>
            <w:tcW w:w="11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remaining balance of our warrants and a portion of the stock options were excluded from the calculation of diluted earnings (loss) per share because the weighted exercise prices of the warrants and stock options were greater than or equal to the average price of the common shares and were therefore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the remaining balance of the Company’s warrants and stock options were excluded from the calculation of diluted earnings per share because the weighted exercise prices of the warrants and stock options were greater than or equal to the average price of the common shares and were therefore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since we reported a net loss from continuing operations, our potentially dilutive securities are deemed to be anti-dilutive, accordingly, there was no effect of dilutive securities. Therefore, our basic and diluted loss per common share and our basic and diluted weighted average common shares from continuing operations are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weighted average securities for the periods presented which were not included in the calculation of diluted earnings (loss) per common share during the respective 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1325"/>
        <w:gridCol w:w="60"/>
        <w:gridCol w:w="84"/>
        <w:gridCol w:w="532"/>
        <w:gridCol w:w="84"/>
        <w:gridCol w:w="84"/>
        <w:gridCol w:w="84"/>
        <w:gridCol w:w="532"/>
        <w:gridCol w:w="7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6"/>
            <w:tcBorders>
              <w:bottom w:val="single" w:sz="12" w:space="0" w:color="000000"/>
            </w:tcBorders>
            <w:tcMar>
              <w:bottom w:w="28" w:type="dxa"/>
            </w:tcMar>
            <w:vAlign w:val="center"/>
          </w:tcPr>
          <w:p>
            <w:pPr>
              <w:pStyle w:val="TableContents"/>
              <w:bidi w:val="0"/>
              <w:spacing w:before="0" w:after="283"/>
              <w:jc w:val="center"/>
              <w:rPr/>
            </w:pPr>
            <w:r>
              <w:rPr/>
              <w:t>As of June 30,</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1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38</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283"/>
              <w:jc w:val="left"/>
              <w:rPr/>
            </w:pPr>
            <w:r>
              <w:rPr/>
              <w:t>Warrants</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98</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32" w:type="dxa"/>
            <w:tcBorders>
              <w:bottom w:val="single" w:sz="12" w:space="0" w:color="000000"/>
            </w:tcBorders>
            <w:shd w:fill="FFFFFF" w:val="clear"/>
            <w:tcMar>
              <w:bottom w:w="28" w:type="dxa"/>
            </w:tcMar>
            <w:vAlign w:val="center"/>
          </w:tcPr>
          <w:p>
            <w:pPr>
              <w:pStyle w:val="TableContents"/>
              <w:bidi w:val="0"/>
              <w:spacing w:before="0" w:after="283"/>
              <w:jc w:val="right"/>
              <w:rPr/>
            </w:pPr>
            <w:r>
              <w:rPr/>
              <w:t>98</w:t>
            </w:r>
          </w:p>
        </w:tc>
        <w:tc>
          <w:tcPr>
            <w:tcW w:w="75"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136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2" w:type="dxa"/>
            <w:tcBorders>
              <w:bottom w:val="double" w:sz="10" w:space="0" w:color="000000"/>
            </w:tcBorders>
            <w:shd w:fill="CCEEFF" w:val="clear"/>
            <w:tcMar>
              <w:bottom w:w="28" w:type="dxa"/>
            </w:tcMar>
            <w:vAlign w:val="center"/>
          </w:tcPr>
          <w:p>
            <w:pPr>
              <w:pStyle w:val="TableContents"/>
              <w:bidi w:val="0"/>
              <w:spacing w:before="0" w:after="283"/>
              <w:jc w:val="right"/>
              <w:rPr/>
            </w:pPr>
            <w:r>
              <w:rPr/>
              <w:t>149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23, 2022, we appointed Mr. Justin Roberts as a director to fill a newly created vacancy on our Board of Directors. Mr. Roberts was elected to serve as a director at our combined 2022 and 2023 Annual Meeting held on June 26, 2023. Mr. Roberts will serve until our next Annual Meeting of Stockholders or until his successor is duly elected or appointed or his earlier death or resignation. As a director, Mr. Roberts is entitled to receive compensation in the same manner as our other non-employee directors, described in the section entitled “Director Compensation” in our Amendment No. 1 to Form 10-K for the fiscal year ended December 31, 2022, filed with the Securities and Exchange Commission on May 1, 2023,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in accordance with the terms of the Certificate of Designation, we redeemed all 29,000 outstanding shares of Series A Preferred Stock previously issued to affiliates of Rubric at a purchase price of $1,333 per share and also paid certain affiliates of Rubric approximately $3.0 million as a make-whole payment pursuant to the subscription agreements previously entered into between us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the first six months of 2026 and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Business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condensed consolidated balance sheets. Additional disclosures regarding discontinued operations are provided in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2026, 100% of license revenue related to Mayne Pharma, Theramex and Knight.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we had a royalty receivable of $3,394 thousand relating to the short-term portion of receivable from Mayne Pharma, Theramex and Knight and $12,626 thousand relating to the long-term portion of royalty receivable which includes royalties recognized from the minimum annual royalty that Mayne Pharma is obligated to pay to us under the Mayne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operate in one segment. Accordingly, our license revenue, net income (loss), and total assets reflect the revenue, income (loss), and assets of the single segment,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Chief Executive Officer is the chief operating decision maker (“CODM”). The CODM uses net income (loss) in assessing the performance and in determining the allocation of resources of our reportable segment. The CODM is regularly provided expense information consistent with the expense categories presented in the Condensed Consolidated Statements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total revenue by geographic location.</w:t>
      </w:r>
    </w:p>
    <w:p>
      <w:pPr>
        <w:pStyle w:val="TextBody"/>
        <w:bidi w:val="0"/>
        <w:spacing w:before="0" w:after="0"/>
        <w:ind w:left="0" w:right="0" w:hanging="0"/>
        <w:jc w:val="left"/>
        <w:rPr>
          <w:caps w:val="false"/>
          <w:smallCaps w:val="false"/>
        </w:rPr>
      </w:pPr>
      <w:r>
        <w:rPr>
          <w:caps w:val="false"/>
          <w:smallCaps w:val="false"/>
        </w:rPr>
        <w:t> </w:t>
      </w:r>
    </w:p>
    <w:tbl>
      <w:tblPr>
        <w:tblW w:w="5861" w:type="dxa"/>
        <w:jc w:val="left"/>
        <w:tblInd w:w="0" w:type="dxa"/>
        <w:tblLayout w:type="fixed"/>
        <w:tblCellMar>
          <w:top w:w="0" w:type="dxa"/>
          <w:left w:w="0" w:type="dxa"/>
          <w:bottom w:w="0" w:type="dxa"/>
          <w:right w:w="0" w:type="dxa"/>
        </w:tblCellMar>
      </w:tblPr>
      <w:tblGrid>
        <w:gridCol w:w="1670"/>
        <w:gridCol w:w="60"/>
        <w:gridCol w:w="252"/>
        <w:gridCol w:w="684"/>
        <w:gridCol w:w="108"/>
        <w:gridCol w:w="108"/>
        <w:gridCol w:w="252"/>
        <w:gridCol w:w="684"/>
        <w:gridCol w:w="60"/>
        <w:gridCol w:w="60"/>
        <w:gridCol w:w="170"/>
        <w:gridCol w:w="681"/>
        <w:gridCol w:w="73"/>
        <w:gridCol w:w="73"/>
        <w:gridCol w:w="170"/>
        <w:gridCol w:w="68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b/>
              </w:rPr>
            </w:pPr>
            <w:r>
              <w:rPr>
                <w:b/>
              </w:rPr>
              <w:t>License revenue</w:t>
            </w:r>
          </w:p>
        </w:tc>
        <w:tc>
          <w:tcPr>
            <w:tcW w:w="60"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3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489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684" w:type="dxa"/>
            <w:tcBorders/>
            <w:shd w:fill="CCEEFF" w:val="clear"/>
            <w:vAlign w:val="center"/>
          </w:tcPr>
          <w:p>
            <w:pPr>
              <w:pStyle w:val="TableContents"/>
              <w:bidi w:val="0"/>
              <w:spacing w:before="0" w:after="283"/>
              <w:jc w:val="right"/>
              <w:rPr/>
            </w:pPr>
            <w:r>
              <w:rPr/>
              <w:t>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1" w:type="dxa"/>
            <w:tcBorders/>
            <w:shd w:fill="CCEEFF" w:val="clear"/>
            <w:vAlign w:val="center"/>
          </w:tcPr>
          <w:p>
            <w:pPr>
              <w:pStyle w:val="TableContents"/>
              <w:bidi w:val="0"/>
              <w:spacing w:before="0" w:after="283"/>
              <w:jc w:val="right"/>
              <w:rPr/>
            </w:pPr>
            <w:r>
              <w:rPr/>
              <w:t>733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1" w:type="dxa"/>
            <w:tcBorders/>
            <w:shd w:fill="CCEEFF" w:val="clear"/>
            <w:vAlign w:val="center"/>
          </w:tcPr>
          <w:p>
            <w:pPr>
              <w:pStyle w:val="TableContents"/>
              <w:bidi w:val="0"/>
              <w:spacing w:before="0" w:after="283"/>
              <w:jc w:val="right"/>
              <w:rPr/>
            </w:pPr>
            <w:r>
              <w:rPr/>
              <w:t>817</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Non-U.S.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pPr>
            <w:r>
              <w:rPr/>
              <w:t>380</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5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pPr>
            <w:r>
              <w:rPr/>
              <w:t>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860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1" w:type="dxa"/>
            <w:tcBorders>
              <w:bottom w:val="single" w:sz="12" w:space="0" w:color="000000"/>
            </w:tcBorders>
            <w:shd w:fill="FFFFFF" w:val="clear"/>
            <w:tcMar>
              <w:bottom w:w="28" w:type="dxa"/>
            </w:tcMar>
            <w:vAlign w:val="center"/>
          </w:tcPr>
          <w:p>
            <w:pPr>
              <w:pStyle w:val="TableContents"/>
              <w:bidi w:val="0"/>
              <w:spacing w:before="0" w:after="283"/>
              <w:jc w:val="right"/>
              <w:rPr/>
            </w:pPr>
            <w:r>
              <w:rPr/>
              <w:t>528</w:t>
            </w:r>
          </w:p>
        </w:tc>
        <w:tc>
          <w:tcPr>
            <w:tcW w:w="7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pPr>
            <w:r>
              <w:rPr/>
              <w:t>869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pPr>
            <w:r>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1" w:type="dxa"/>
            <w:tcBorders>
              <w:bottom w:val="double" w:sz="10" w:space="0" w:color="000000"/>
            </w:tcBorders>
            <w:shd w:fill="CCEEFF" w:val="clear"/>
            <w:tcMar>
              <w:bottom w:w="28" w:type="dxa"/>
            </w:tcMar>
            <w:vAlign w:val="center"/>
          </w:tcPr>
          <w:p>
            <w:pPr>
              <w:pStyle w:val="TableContents"/>
              <w:bidi w:val="0"/>
              <w:spacing w:before="0" w:after="283"/>
              <w:jc w:val="right"/>
              <w:rPr/>
            </w:pPr>
            <w:r>
              <w:rPr/>
              <w:t>1,593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1" w:type="dxa"/>
            <w:tcBorders>
              <w:bottom w:val="double" w:sz="10" w:space="0" w:color="000000"/>
            </w:tcBorders>
            <w:shd w:fill="CCEEFF" w:val="clear"/>
            <w:tcMar>
              <w:bottom w:w="28" w:type="dxa"/>
            </w:tcMar>
            <w:vAlign w:val="center"/>
          </w:tcPr>
          <w:p>
            <w:pPr>
              <w:pStyle w:val="TableContents"/>
              <w:bidi w:val="0"/>
              <w:spacing w:before="0" w:after="283"/>
              <w:jc w:val="right"/>
              <w:rPr/>
            </w:pPr>
            <w:r>
              <w:rPr/>
              <w:t>1,345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Knight notified the Company that the net sales milestone related to IMVEXXY sales for the year ended December 31, 2025 had been achieved. As a result of the milestone achievement, the Company became entitled to receive a milestone payment of CAD 500 thousand, $364.8 thousand, pursuant to the applicable agreement with Knight and accordingly recognized such milestone revenues in the quarter ending September 30, 2026 in line with the Company’s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2025 Annual Report on Form 10-K/A, filed with the SEC on April 1, 2026 (“2025 10-K/A Report”), and the condensed consolidated financial statements and related notes in Item 1, Financial Statements, appearing elsewhere in this Quarterly Report on Form 10-Q (“10-Q Report”). The following discussion may contain forward-looking statements, and our actual results may differ materially from the results suggested by these forward-looking statements. Factors that might cause such differences include, but are not limited to, those discussed in Part I, Item 1A of our 2025 10-K/A Report under the heading “Risk Factors.” We assume no obligation to revise or update any forward-looking statements for any reason,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following discussion may not add due to rounding, and all percentages have been calculated using unrounded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10-Q Report contains forward-looking statements within the meaning of the Private Securities Litigation Reform Act of 1995. These forward-looking statements involve substantial risks and uncertainties. For example, statements regarding our operations, financial position, debt position, liquidity, business strategy, and other plans and objectives for future operations, and assumptions and predictions about future cost reduction strategies, expenses and royalties are all forward-looking statements. These statements are generally accompanied by words such as “intend,” “anticipate,” “believe,” “estimate,” “potential(ly),” “continue,” “forecast,” “predict,” “plan,” “may,” “will,” “could,” “would,” “should,” “expect,” or the negative of such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of this 10-Q Report, and we cannot assure you that these assumptions and expectations will prove to have been correct or that we will take any action that we may presently be planning. These forward-looking statements are inherently subject to known and unknown risks and uncertainties. Actual results or experience may differ materially from those expected or anticipated in the forward-looking statements. We do not undertake to update any forward-looking statements or to publicly announce the results of any revisions to any statements to reflect new information or future events or developments, except as required by law or by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not guarantees of future performance and are subject to risks and uncertainties, many of which are outside of our control. Factors that could cause or contribute to such differences include, but are not limited to, our liquidity requirements, supply chain issues, management transitions, risks related to our licensing agreements, risks related to the pursuit of strategic alternatives, market and general economic factors, and the other risks discussed in Part I, Item 1A of our 2025 10-K/A Report, as updated and supplemented by Part II, Item 1A of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IMVEXXY, BIJUVA and prescription prenatal vitamin products sold under the BocaGreenMD and vitaMedMD brands (collectively, the “Licensed Products”) in the United States and its possessions and territories, (ii) assigned to Mayne Pharma our exclusive license to commercialize ANNOVERA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(the “Minimum Annual Royalty”).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us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Liabilities associated with the commercial business are classified as liabilities of discontinued operations in our consolidated balance sheets. See Note 2 – Discontinued Operations to the condensed consolidated financial statements included in this Quarterly Report on Form 10-Q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we entered into the “Knight License Agreement” with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 variety of strategic alternatives that may include, but not be limited to, an acquisition, merger, other business combination, sale of assets, or other strategic transactions. Although we are exploring potential strategic alternatives, there can be no assurance of a transaction, a successful outcome of these efforts, or the form or timing of any such outcome. We have not set a timetable for completion of this exploration process and do not intend to disclose further developments unless and until required by applicable laws or regulations or as otherwise deemed appropriate by our Board of Directors or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additional capital to provide additional liquidity to fund our operations until we become cash flow positive.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down an additional 877,192 shares of Common Stock at a price per share equal to $2.2761. We received gross proceeds of $2.0 million from the drawdown, before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revised certain accrual estimates including increasing our working capital adjustment accrual from $3.5 million to $5.5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On April 6, 2026, we filed objections to certain of the magistrate judge’s recommendations. On May 20, 2026, the court overruled our objections and ordered the parties to submit the net working capital claims to a dispute resolution process set forth in the Transaction Agreement while the case is stayed pending the expert determination of the dispute resolution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As of June 30, 2026,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has also made certain indemnification demands under the Transaction Agreement, which we dispute. As of June 30, 2026, we believed no additional accrual was required for such claims, as we could not reasonably estimate a range of loss.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including as a result of Mayne Pharma Group’s potential sale to Cosette Pharmaceuticals, Inc.,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financial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royalty-bearing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IMVEXXY (estradiol vaginal inserts), 4-µg and 10-µg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condensed consolidated financial statements for all periods prior to the Closing Date. Liabilities associated with the commercial business are classified as liabilities of discontinued operations in our condensed consolidated balance sheets. Additional disclosures regarding discontinued operations are provided in Note 2 to the condensed consolidated financial statements included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and the revenues and expenses discussed below, are based on, and relate to, our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 compared with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left"/>
        <w:rPr>
          <w:caps w:val="false"/>
          <w:smallCaps w:val="false"/>
        </w:rPr>
      </w:pPr>
      <w:r>
        <w:rPr>
          <w:caps w:val="false"/>
          <w:smallCaps w:val="false"/>
        </w:rPr>
        <w:t> </w:t>
      </w:r>
    </w:p>
    <w:tbl>
      <w:tblPr>
        <w:tblW w:w="8338" w:type="dxa"/>
        <w:jc w:val="left"/>
        <w:tblInd w:w="0" w:type="dxa"/>
        <w:tblLayout w:type="fixed"/>
        <w:tblCellMar>
          <w:top w:w="0" w:type="dxa"/>
          <w:left w:w="0" w:type="dxa"/>
          <w:bottom w:w="0" w:type="dxa"/>
          <w:right w:w="0" w:type="dxa"/>
        </w:tblCellMar>
      </w:tblPr>
      <w:tblGrid>
        <w:gridCol w:w="6140"/>
        <w:gridCol w:w="60"/>
        <w:gridCol w:w="182"/>
        <w:gridCol w:w="731"/>
        <w:gridCol w:w="124"/>
        <w:gridCol w:w="78"/>
        <w:gridCol w:w="182"/>
        <w:gridCol w:w="731"/>
        <w:gridCol w:w="110"/>
      </w:tblGrid>
      <w:tr>
        <w:trPr/>
        <w:tc>
          <w:tcPr>
            <w:tcW w:w="6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June 30,</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right"/>
              <w:rPr/>
            </w:pPr>
            <w:r>
              <w:rPr/>
              <w:t> </w:t>
            </w:r>
          </w:p>
        </w:tc>
        <w:tc>
          <w:tcPr>
            <w:tcW w:w="12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869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731" w:type="dxa"/>
            <w:tcBorders/>
            <w:shd w:fill="CCEEFF" w:val="clear"/>
            <w:vAlign w:val="center"/>
          </w:tcPr>
          <w:p>
            <w:pPr>
              <w:pStyle w:val="TableContents"/>
              <w:bidi w:val="0"/>
              <w:spacing w:before="0" w:after="283"/>
              <w:jc w:val="right"/>
              <w:rPr/>
            </w:pPr>
            <w:r>
              <w:rPr/>
              <w:t>952</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1,577</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1,551</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Write-off of patents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13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1,685</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1,647</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(816</w:t>
            </w:r>
          </w:p>
        </w:tc>
        <w:tc>
          <w:tcPr>
            <w:tcW w:w="124"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(695</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69</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523</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Miscellaneous income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388</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pPr>
            <w:r>
              <w:rPr/>
              <w:t>835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980</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1,240</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Income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164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545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Income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164</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right"/>
              <w:rPr/>
            </w:pPr>
            <w:r>
              <w:rPr/>
              <w:t>545</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(Loss) income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124"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1"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1" w:type="dxa"/>
            <w:tcBorders>
              <w:bottom w:val="double" w:sz="10" w:space="0" w:color="000000"/>
            </w:tcBorders>
            <w:shd w:fill="CCEEFF" w:val="clear"/>
            <w:tcMar>
              <w:bottom w:w="28" w:type="dxa"/>
            </w:tcMar>
            <w:vAlign w:val="center"/>
          </w:tcPr>
          <w:p>
            <w:pPr>
              <w:pStyle w:val="TableContents"/>
              <w:bidi w:val="0"/>
              <w:spacing w:before="0" w:after="283"/>
              <w:jc w:val="right"/>
              <w:rPr/>
            </w:pPr>
            <w:r>
              <w:rPr/>
              <w:t>155</w:t>
            </w:r>
          </w:p>
        </w:tc>
        <w:tc>
          <w:tcPr>
            <w:tcW w:w="12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1" w:type="dxa"/>
            <w:tcBorders>
              <w:bottom w:val="double" w:sz="10" w:space="0" w:color="000000"/>
            </w:tcBorders>
            <w:shd w:fill="CCEEFF" w:val="clear"/>
            <w:tcMar>
              <w:bottom w:w="28" w:type="dxa"/>
            </w:tcMar>
            <w:vAlign w:val="center"/>
          </w:tcPr>
          <w:p>
            <w:pPr>
              <w:pStyle w:val="TableContents"/>
              <w:bidi w:val="0"/>
              <w:spacing w:before="0" w:after="283"/>
              <w:jc w:val="right"/>
              <w:rPr/>
            </w:pPr>
            <w:r>
              <w:rPr/>
              <w:t>551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w:t>
      </w:r>
      <w:r>
        <w:rPr>
          <w:rFonts w:ascii="Times New Roman;Times;Serif" w:hAnsi="Times New Roman;Times;Serif"/>
          <w:b w:val="false"/>
          <w:i w:val="false"/>
          <w:caps w:val="false"/>
          <w:smallCaps w:val="false"/>
          <w:sz w:val="20"/>
        </w:rPr>
        <w:t xml:space="preserve"> We recorded $869 thousand in license revenue for the second quarter of 2026, a decrease of $83 thousand, compared to $952 thousand in license revenue for the second quarter of 2025. The decrease is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w:t>
      </w:r>
      <w:r>
        <w:rPr>
          <w:rFonts w:ascii="Times New Roman;Times;Serif" w:hAnsi="Times New Roman;Times;Serif"/>
          <w:b w:val="false"/>
          <w:i w:val="false"/>
          <w:caps w:val="false"/>
          <w:smallCaps w:val="false"/>
          <w:sz w:val="20"/>
        </w:rPr>
        <w:t xml:space="preserve"> General and administrative expenses were $1,577 thousand for the second quarter of 2026, an increase of $26 thousand or 1.7%, compared to $1,551 thousand for 2025. The increase is primarily attributable to higher rent expenses and press releases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Write-off of patents</w:t>
      </w:r>
      <w:r>
        <w:rPr>
          <w:rFonts w:ascii="Times New Roman;Times;Serif" w:hAnsi="Times New Roman;Times;Serif"/>
          <w:b w:val="false"/>
          <w:i w:val="false"/>
          <w:caps w:val="false"/>
          <w:smallCaps w:val="false"/>
          <w:sz w:val="20"/>
        </w:rPr>
        <w:t>. We recorded a write-off of $13 thousand for abandoned patents in the second quarter of 2026, compared to no write-off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Depreciation and amortization. </w:t>
      </w:r>
      <w:r>
        <w:rPr>
          <w:rFonts w:ascii="Times New Roman;Times;Serif" w:hAnsi="Times New Roman;Times;Serif"/>
          <w:b w:val="false"/>
          <w:i w:val="false"/>
          <w:caps w:val="false"/>
          <w:smallCaps w:val="false"/>
          <w:sz w:val="20"/>
        </w:rPr>
        <w:t>Depreciation and amortization expense was $95 thousand for the second quarter of 2026, compared to $96 thousand for the second quarter of 2025.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expenses. </w:t>
      </w:r>
      <w:r>
        <w:rPr>
          <w:rFonts w:ascii="Times New Roman;Times;Serif" w:hAnsi="Times New Roman;Times;Serif"/>
          <w:b w:val="false"/>
          <w:i w:val="false"/>
          <w:caps w:val="false"/>
          <w:smallCaps w:val="false"/>
          <w:sz w:val="20"/>
        </w:rPr>
        <w:t>Total operating expenses for the second quarter of 2026 were $1,685 thousand, an increase of $38 thousand, or 2.3%, compared to $1,647 thousand for the second quarter of 2025. The increase is primarily attributable to higher rent expenses and press releases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from operations.</w:t>
      </w:r>
      <w:r>
        <w:rPr>
          <w:rFonts w:ascii="Times New Roman;Times;Serif" w:hAnsi="Times New Roman;Times;Serif"/>
          <w:b w:val="false"/>
          <w:i w:val="false"/>
          <w:caps w:val="false"/>
          <w:smallCaps w:val="false"/>
          <w:sz w:val="20"/>
        </w:rPr>
        <w:t xml:space="preserve"> In the second quarter of 2026, we had a loss from operations of $816 thousand, as compared to a loss from operations of $695 thousand for the second quarter of 2025. This change reflects the decrease in revenue from licensed product sales, the increase in rent expenses, and higher press release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net.</w:t>
      </w:r>
      <w:r>
        <w:rPr>
          <w:rFonts w:ascii="Times New Roman;Times;Serif" w:hAnsi="Times New Roman;Times;Serif"/>
          <w:b w:val="false"/>
          <w:i w:val="false"/>
          <w:caps w:val="false"/>
          <w:smallCaps w:val="false"/>
          <w:sz w:val="20"/>
        </w:rPr>
        <w:t xml:space="preserve"> During the second quarter of 2026, we had other income of $980 thousand compared to other income of $1,240 thousand in the second quarter of 2025, reflecting a decrease in other income pertaining to Mayne’s royalty sales of ANNOVERA and amounts received in May 2025 in connection with a settlement related to trademark infringement by a third party of certain trademarks owned by us, partially offset by higher sublease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from continuing operations</w:t>
      </w:r>
      <w:r>
        <w:rPr>
          <w:rFonts w:ascii="Times New Roman;Times;Serif" w:hAnsi="Times New Roman;Times;Serif"/>
          <w:b w:val="false"/>
          <w:i w:val="false"/>
          <w:caps w:val="false"/>
          <w:smallCaps w:val="false"/>
          <w:sz w:val="20"/>
        </w:rPr>
        <w:t>. For the second quarter of 2026, we had net income of $164 thousand, or $0.01 per basic and diluted common share compared to a net income of $545 thousand, or $0.05 per basic and diluted common share for the second quarter of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xml:space="preserve"> – Net loss from discontinued operations was $9 thousand for the second quarter of 2026, compared to an income from discontinued operations of $6 thousand for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 Discontinued Operations, in the notes to the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with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5870"/>
        <w:gridCol w:w="60"/>
        <w:gridCol w:w="146"/>
        <w:gridCol w:w="666"/>
        <w:gridCol w:w="99"/>
        <w:gridCol w:w="62"/>
        <w:gridCol w:w="146"/>
        <w:gridCol w:w="666"/>
        <w:gridCol w:w="110"/>
      </w:tblGrid>
      <w:tr>
        <w:trPr/>
        <w:tc>
          <w:tcPr>
            <w:tcW w:w="5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pPr>
            <w:r>
              <w:rPr/>
              <w:t>Six Months Ended</w:t>
              <w:br/>
              <w:t>June 30,</w:t>
            </w:r>
          </w:p>
        </w:tc>
        <w:tc>
          <w:tcPr>
            <w:tcW w:w="11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87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12"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1,593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1,345</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2,930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3,042</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Write-off of patents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88</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191</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3,132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3,321</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(1,539</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(1,976</w:t>
            </w:r>
          </w:p>
        </w:tc>
        <w:tc>
          <w:tcPr>
            <w:tcW w:w="110" w:type="dxa"/>
            <w:tcBorders/>
            <w:shd w:fill="CCEEFF" w:val="clear"/>
            <w:vAlign w:val="center"/>
          </w:tcPr>
          <w:p>
            <w:pPr>
              <w:pStyle w:val="TableContents"/>
              <w:bidi w:val="0"/>
              <w:spacing w:before="0" w:after="283"/>
              <w:jc w:val="left"/>
              <w:rPr/>
            </w:pPr>
            <w:r>
              <w:rPr/>
              <w:t>)</w:t>
            </w:r>
          </w:p>
        </w:tc>
      </w:tr>
      <w:tr>
        <w:trPr/>
        <w:tc>
          <w:tcPr>
            <w:tcW w:w="587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110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59</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Sublease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1,040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pPr>
            <w:r>
              <w:rPr/>
              <w:t>786</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Miscellaneous income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656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pPr>
            <w:r>
              <w:rPr/>
              <w:t>1,008</w:t>
            </w:r>
          </w:p>
        </w:tc>
        <w:tc>
          <w:tcPr>
            <w:tcW w:w="110" w:type="dxa"/>
            <w:tcBorders/>
            <w:shd w:fill="CCEEFF" w:val="clear"/>
            <w:vAlign w:val="center"/>
          </w:tcPr>
          <w:p>
            <w:pPr>
              <w:pStyle w:val="TableContents"/>
              <w:bidi w:val="0"/>
              <w:spacing w:before="0" w:after="283"/>
              <w:jc w:val="left"/>
              <w:rPr/>
            </w:pPr>
            <w:r>
              <w:rPr/>
              <w:t> </w:t>
            </w:r>
          </w:p>
        </w:tc>
      </w:tr>
      <w:tr>
        <w:trPr/>
        <w:tc>
          <w:tcPr>
            <w:tcW w:w="5870" w:type="dxa"/>
            <w:tcBorders/>
            <w:shd w:fill="FFFFFF" w:val="clear"/>
            <w:vAlign w:val="center"/>
          </w:tcPr>
          <w:p>
            <w:pPr>
              <w:pStyle w:val="TableContents"/>
              <w:bidi w:val="0"/>
              <w:spacing w:before="0" w:after="283"/>
              <w:jc w:val="left"/>
              <w:rPr/>
            </w:pPr>
            <w:r>
              <w:rPr/>
              <w:t>Total other income,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1,806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1,853</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Income (loss)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267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(123</w:t>
            </w:r>
          </w:p>
        </w:tc>
        <w:tc>
          <w:tcPr>
            <w:tcW w:w="110" w:type="dxa"/>
            <w:tcBorders/>
            <w:shd w:fill="CCEEFF" w:val="clear"/>
            <w:vAlign w:val="center"/>
          </w:tcPr>
          <w:p>
            <w:pPr>
              <w:pStyle w:val="TableContents"/>
              <w:bidi w:val="0"/>
              <w:spacing w:before="0" w:after="283"/>
              <w:jc w:val="left"/>
              <w:rPr/>
            </w:pPr>
            <w:r>
              <w:rPr/>
              <w:t>)</w:t>
            </w:r>
          </w:p>
        </w:tc>
      </w:tr>
      <w:tr>
        <w:trPr/>
        <w:tc>
          <w:tcPr>
            <w:tcW w:w="587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 </w:t>
            </w:r>
          </w:p>
        </w:tc>
      </w:tr>
      <w:tr>
        <w:trPr/>
        <w:tc>
          <w:tcPr>
            <w:tcW w:w="5870" w:type="dxa"/>
            <w:tcBorders/>
            <w:shd w:fill="CCEEFF" w:val="clear"/>
            <w:vAlign w:val="center"/>
          </w:tcPr>
          <w:p>
            <w:pPr>
              <w:pStyle w:val="TableContents"/>
              <w:bidi w:val="0"/>
              <w:spacing w:before="0" w:after="283"/>
              <w:jc w:val="left"/>
              <w:rPr/>
            </w:pPr>
            <w:r>
              <w:rPr/>
              <w:t>Income (loss) from continuing operations, net of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267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r>
        <w:trPr/>
        <w:tc>
          <w:tcPr>
            <w:tcW w:w="5870"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jc w:val="left"/>
              <w:rPr/>
            </w:pPr>
            <w:r>
              <w:rPr/>
              <w:t>)</w:t>
            </w:r>
          </w:p>
        </w:tc>
      </w:tr>
      <w:tr>
        <w:trPr/>
        <w:tc>
          <w:tcPr>
            <w:tcW w:w="587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pPr>
            <w:r>
              <w:rPr/>
              <w:t>250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pPr>
            <w:r>
              <w:rPr/>
              <w:t>(102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We recorded $1,593 thousand in license revenue for the first six months of 2026, primarily from the Mayne License Agreement, an increase of $248 thousand, compared to $1,345 thousand in license revenue for the first six months of 2025. The increase is primarily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were $2,930 thousand for the first six months of 2026, a decrease of $112 thousand, or 3.7%, compared to $3,042 thousand for the first six months of 2025. The change is primarily due to a decrease in professional fees and stock-based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Write-off of patents</w:t>
      </w:r>
      <w:r>
        <w:rPr>
          <w:rFonts w:ascii="Times New Roman;Times;Serif" w:hAnsi="Times New Roman;Times;Serif"/>
          <w:b w:val="false"/>
          <w:i w:val="false"/>
          <w:caps w:val="false"/>
          <w:smallCaps w:val="false"/>
          <w:sz w:val="20"/>
        </w:rPr>
        <w:t>. We recorded a write-off of $13 thousand for abandoned patents for the first six months of 2026, compared to $88 thousand for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and amortization.</w:t>
      </w:r>
      <w:r>
        <w:rPr>
          <w:rFonts w:ascii="Times New Roman;Times;Serif" w:hAnsi="Times New Roman;Times;Serif"/>
          <w:b w:val="false"/>
          <w:i w:val="false"/>
          <w:caps w:val="false"/>
          <w:smallCaps w:val="false"/>
          <w:sz w:val="20"/>
        </w:rPr>
        <w:t xml:space="preserve"> Depreciation and amortization expense was $189 thousand for the first six months of 2026, a decrease of $2 thousand, or 1%, compared to $191 thousand for the first six months of 2025.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expenses</w:t>
      </w:r>
      <w:r>
        <w:rPr>
          <w:rFonts w:ascii="Times New Roman;Times;Serif" w:hAnsi="Times New Roman;Times;Serif"/>
          <w:b w:val="false"/>
          <w:i w:val="false"/>
          <w:caps w:val="false"/>
          <w:smallCaps w:val="false"/>
          <w:sz w:val="20"/>
        </w:rPr>
        <w:t>. Total operating expenses for the first six months of 2026 were $3,132 thousand, a decrease of $189 thousand, or 5.7%, compared to $3,321 thousand for the first six months of 2025. The change is primarily due to a lower write-off recognized in 2026, as well as decreases in professional fees and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from operations.</w:t>
      </w:r>
      <w:r>
        <w:rPr>
          <w:rFonts w:ascii="Times New Roman;Times;Serif" w:hAnsi="Times New Roman;Times;Serif"/>
          <w:b w:val="false"/>
          <w:i w:val="false"/>
          <w:caps w:val="false"/>
          <w:smallCaps w:val="false"/>
          <w:sz w:val="20"/>
        </w:rPr>
        <w:t xml:space="preserve"> In the first six months of 2026, we had a loss from operations of $1,539 thousand, as compared to a loss from operations of $1,976 thousand for the first six months of 2025. This change reflects the increase in license revenues and decrease in professional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income, net.</w:t>
      </w:r>
      <w:r>
        <w:rPr>
          <w:rFonts w:ascii="Times New Roman;Times;Serif" w:hAnsi="Times New Roman;Times;Serif"/>
          <w:b w:val="false"/>
          <w:i w:val="false"/>
          <w:caps w:val="false"/>
          <w:smallCaps w:val="false"/>
          <w:sz w:val="20"/>
        </w:rPr>
        <w:t xml:space="preserve"> During the first six months of 2026, we had other income of $1,806 thousand compared to other income of $1,853 thousand in the first six months of 2025. This change is primarily due to lower other income pertaining to Mayne’s royalty sales of ANNOVERA partially offset by the higher sublease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Income tax benefit</w:t>
      </w:r>
      <w:r>
        <w:rPr>
          <w:rFonts w:ascii="Times New Roman;Times;Serif" w:hAnsi="Times New Roman;Times;Serif"/>
          <w:b w:val="false"/>
          <w:i w:val="false"/>
          <w:caps w:val="false"/>
          <w:smallCaps w:val="false"/>
          <w:sz w:val="20"/>
        </w:rPr>
        <w:t>. During the first six months of 2026, we recorded no benefit for income taxes for continuing operations. During the first six months of 2025, we recorded income tax benefit of $32 thousand for continuing operations, which is a result of refunds received from certain state tax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income (loss) from continuing operations</w:t>
      </w:r>
      <w:r>
        <w:rPr>
          <w:rFonts w:ascii="Times New Roman;Times;Serif" w:hAnsi="Times New Roman;Times;Serif"/>
          <w:b w:val="false"/>
          <w:i w:val="false"/>
          <w:caps w:val="false"/>
          <w:smallCaps w:val="false"/>
          <w:sz w:val="20"/>
        </w:rPr>
        <w:t>. For the first six months of 2026, we had a net income of $267 thousand, or $0.02 per basic and diluted common share, compared to a net loss of $91 thousand, or $(0.01) per basic and diluted common share, for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xml:space="preserve"> – Net loss from discontinued operations was $17 thousand for the first six months of 2026, compared to net loss from discontinued operations of $11 thousand for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 Discontinued Operations, in the notes to the condensed consolidated financial statements appearing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our continued operations. We have funded our operations primarily through revenue from licensed royalties, public offerings of our common stock and private placements of equity and debt securities, and the transactions with Mayne Pharma. As of June 30, 2026, we had cash and cash equivalents totaling $9,189 thousand. We maintain cash at financial institutions that at times may exceed the Federal Deposit Insurance Corporation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Mayne Pharma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Mayne Pharma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The total consideration from Mayne Pharma to us under the Mayne License Agreement consisted of (i) a cash payment of $140.0 million at closing, (ii) a cash payment of approximately $12.1 million at closing for the acquisition of net working capital as determined in accordance with the transaction agreement dated December 4, 2022, and subject to certain adjustments, (iii) a cash payment of approximately $1.0 million at closing for prepaid royalties in connection with the Mayne License Agreement Amendment and (iv) the right to receive the contingent consideration set forth in the Mayne License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 with Rubric Capital Management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the Subscription Agreement with Rubric, pursuant to which we agreed to sell to Rubric, or one or more of its affiliates, up to an aggregate of 5,000,000 shares of Common Stock, from time to time during the term of the Subscription Agreement in separate drawdowns at our election, at a purchase price of the five-day volume-weighted average price of our common stock at the time of the sale of such shares, at an aggregate purchase price of up to $5,000,000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drawdown occurred on June 29, 2023 consisting of a sale of 312,525 shares of Common Stock at a price per share equal to $3.6797. We received gross proceeds of $1.15 million from the drawdown, before expenses. On November 15, 2023 Rubric drew down an additional 877,192 shares of Common Stock at a price per share equal to $2.2761. We received gross proceeds of $2.0 million from the drawdown, before expenses. There were no drawdowns in the first six months of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“Going Concern” above for further discussion related to our ability to generate and obtain adequate amounts of cash to meet our liquidity needs and our plans to satisfy such needs in the short-term and in the long-term. As a result, there is substantial doubt about our ability to continue as a going concern for the next twelve months from the issuance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major categories of cash flows for each of the periods (in thousands).</w:t>
      </w:r>
    </w:p>
    <w:p>
      <w:pPr>
        <w:pStyle w:val="TextBody"/>
        <w:bidi w:val="0"/>
        <w:spacing w:before="0" w:after="0"/>
        <w:ind w:left="0" w:right="0" w:hanging="0"/>
        <w:jc w:val="left"/>
        <w:rPr>
          <w:caps w:val="false"/>
          <w:smallCaps w:val="false"/>
        </w:rPr>
      </w:pPr>
      <w:r>
        <w:rPr>
          <w:caps w:val="false"/>
          <w:smallCaps w:val="false"/>
        </w:rPr>
        <w:t> </w:t>
      </w:r>
    </w:p>
    <w:tbl>
      <w:tblPr>
        <w:tblW w:w="6973" w:type="dxa"/>
        <w:jc w:val="left"/>
        <w:tblInd w:w="0" w:type="dxa"/>
        <w:tblLayout w:type="fixed"/>
        <w:tblCellMar>
          <w:top w:w="0" w:type="dxa"/>
          <w:left w:w="0" w:type="dxa"/>
          <w:bottom w:w="0" w:type="dxa"/>
          <w:right w:w="0" w:type="dxa"/>
        </w:tblCellMar>
      </w:tblPr>
      <w:tblGrid>
        <w:gridCol w:w="4955"/>
        <w:gridCol w:w="60"/>
        <w:gridCol w:w="166"/>
        <w:gridCol w:w="666"/>
        <w:gridCol w:w="113"/>
        <w:gridCol w:w="71"/>
        <w:gridCol w:w="166"/>
        <w:gridCol w:w="666"/>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8"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pPr>
            <w:r>
              <w:rP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2"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Net cash provided by continuing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1,723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1,080</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Net cash used in discontinued operations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pPr>
            <w:r>
              <w:rPr/>
              <w:t>(70</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pPr>
            <w:r>
              <w:rPr/>
              <w:t>1,706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10" w:space="0" w:color="000000"/>
            </w:tcBorders>
            <w:shd w:fill="CCEEFF" w:val="clear"/>
            <w:tcMar>
              <w:bottom w:w="28" w:type="dxa"/>
            </w:tcMar>
            <w:vAlign w:val="center"/>
          </w:tcPr>
          <w:p>
            <w:pPr>
              <w:pStyle w:val="TableContents"/>
              <w:bidi w:val="0"/>
              <w:spacing w:before="0" w:after="283"/>
              <w:jc w:val="right"/>
              <w:rPr/>
            </w:pPr>
            <w:r>
              <w:rPr/>
              <w:t>1,010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Operating Activities from continuing operations</w:t>
      </w:r>
      <w:r>
        <w:rPr>
          <w:rFonts w:ascii="Times New Roman;Times;Serif" w:hAnsi="Times New Roman;Times;Serif"/>
          <w:b w:val="false"/>
          <w:i w:val="false"/>
          <w:caps w:val="false"/>
          <w:smallCaps w:val="false"/>
          <w:sz w:val="20"/>
        </w:rPr>
        <w:t>. For the first six months of 2026, net cash provided by operating activities was $1,723 thousand, compared to net cash provided by operating activities of $1,080 thousand for the first six months of 2025. The increase was primarily driven by cash received from royalty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cash used in discontinued operations</w:t>
      </w:r>
      <w:r>
        <w:rPr>
          <w:rFonts w:ascii="Times New Roman;Times;Serif" w:hAnsi="Times New Roman;Times;Serif"/>
          <w:b w:val="false"/>
          <w:i w:val="false"/>
          <w:caps w:val="false"/>
          <w:smallCaps w:val="false"/>
          <w:sz w:val="20"/>
        </w:rPr>
        <w:t>. Net cash used in discontinued operations for the first six months of 2026 was $17 thousand as compared to net cash used in operating activities from discontinued operations of $70 thousand for the first six months of 2025. This change relates primarily to a decreased level of activities associated with our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see the condensed consolidated statements of cash flows in Item 1, Financial Statements, appearing elsewhere in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liquidity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Receivable from Mayne Pharma</w:t>
      </w:r>
      <w:r>
        <w:rPr>
          <w:rFonts w:ascii="Times New Roman;Times;Serif" w:hAnsi="Times New Roman;Times;Serif"/>
          <w:b w:val="false"/>
          <w:i w:val="false"/>
          <w:caps w:val="false"/>
          <w:smallCaps w:val="false"/>
          <w:sz w:val="20"/>
        </w:rPr>
        <w:t>. On December 30, 2022, Mayne Pharma acquired our accounts receivable balance of approximately $29.3 million which is subject to certain working capital adjustments. As of June 30, 2026, we had a royalty receivable of $3,014 thousand relating to the short-term portion of royalty receivable from Mayne Pharma and $12,626 thousand relating to the long-term portion of royalty receivable which includes royalties recognized from the Minimum Annual Royalty. See “Note 1 Business, basis of presentation, new accounting standards and summary of significant accounting policies (Revenue Recognition)” to the consolidated financial statements included in our 2025 10-K/A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off-balance sheet arrangements and purchase commitments and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and off-balance sheet arrangements are set forth below. For additional information on any of the following and other obligations and arrangements, see “Note 6. Commitments and Contingencies” to the condensed consolidated financial statements included in this 10-Q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enter into agreements with third parties that include indemnification provisions, which, in our judgment, are normal and customary for companies in our industry sector. Pursuant to these agreements, we agree to indemnify, hold harmless, and reimburse indemnified parties for losses suffered, for which there may or may not be limitations on potential damages. The maximum potential amount of future payments we could be required to make under these indemnification provisions is sometimes unlimited. As a result, the estimated fair value of liabilities relating to these provisions is minimal. Accordingly, we had no liabilities recorded for these provisions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and the amount of the loss can be reasonably estimated, as set forth by accounting principles generally accepted in the United States of America (“U.S. GAAP”), an estimate is made of the loss and the appropriate accounting entries are reflected in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our financial condition and results of operations are based upon our condensed consolidated financial statements included elsewhere in this 10-Q Report, which has been prepared in accordance with U.S. GAAP and SEC rules and regulations related to interim financial reporting. We make estimates and assumptions that affect the reported amounts on our condensed consolidated financial statements and accompanying notes as of the date of the condensed consolidated financial statements. The critical accounting policies and estimates used are disclosed in Item 7 – Management’s discussion and analysis of financial condition and results of operations – Critical accounting policies and estimates in our 2025 10-K/A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Securities Exchange Act of 1934, as amended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in the reports filed or submitted under the Securities Exchange Act of 1934, as amended (the “Exchange Act”), is recorded, processed, summarized and reported, within the time period specified in the SEC’s rules and forms and is accumulated and communicated to our management, including our Chief Executive Officer and Principal Financial and Accounting Officer, as appropriate, in order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evaluated the effectiveness of our disclosure controls and procedures (as defined in Rules 13a-15(e) and 15d-15(e) under the Exchange Act) as of the end of the period covered by this 10-Q Report. Based on that evaluation, our Chief Executive Officer concluded that our disclosure controls and procedures as of the end of the period covered by this 10-Q Report were effective in providing reasonable assurance that information required to be disclosed by us in reports that we file or submit under the Exchange Act is (i) recorded, processed, summarized and reported within the time periods specified in the SEC’s rules and forms and (ii) accumulated and communicated to our management, including our Chief Executive Officer and Principal Financial and Accounting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litigation and proceedings in the ordinary course of our business. Other than the legal proceedings disclosed in Note 6, Commitments and contingencies in Part I, Item 1, Financial Statements, appearing elsewhere in this 10-Q Report, we are not involved in any legal proceeding that we believe would have a material effect on our business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condition and operating results can be affected by a number of factors, whether currently known or unknown, including but not limited to those described in Part I, Item 1A of the 2025 10-K/A Report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10-K/A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our directors or officers adopted or terminated any Rule 10b5-1 trading arrangement or non-Rule 10b5-1 trading arrangement (as such terms are defined in Item 408 of Regulation 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8"/>
        <w:gridCol w:w="60"/>
        <w:gridCol w:w="9287"/>
      </w:tblGrid>
      <w:tr>
        <w:trPr/>
        <w:tc>
          <w:tcPr>
            <w:tcW w:w="858"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5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0"/>
                </w:rPr>
                <w:t>Articles of Incorporation of AMHN, Inc. filed in the State of Nevada, dated July 20, 2010 (1)</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0"/>
                </w:rPr>
                <w:t>Bylaws of AMHN, Inc. (2)</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w:anchor="ea029794901ex31-1.htm">
              <w:r>
                <w:rPr>
                  <w:rStyle w:val="InternetLink"/>
                  <w:rFonts w:ascii="Times New Roman;Times;Serif" w:hAnsi="Times New Roman;Times;Serif"/>
                  <w:b w:val="false"/>
                  <w:i w:val="false"/>
                  <w:caps w:val="false"/>
                  <w:smallCaps w:val="false"/>
                  <w:sz w:val="20"/>
                </w:rPr>
                <w:t>Certification of Chief Executive Officer pursuant to Rule 13a-14(a) and Rule 15d-14(a)</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w:anchor="ea029794901ex31-2.htm">
              <w:r>
                <w:rPr>
                  <w:rStyle w:val="InternetLink"/>
                  <w:rFonts w:ascii="Times New Roman;Times;Serif" w:hAnsi="Times New Roman;Times;Serif"/>
                  <w:b w:val="false"/>
                  <w:i w:val="false"/>
                  <w:caps w:val="false"/>
                  <w:smallCaps w:val="false"/>
                  <w:sz w:val="20"/>
                </w:rPr>
                <w:t>Certification of Principal Financial Officer pursuant to Rule 13a-14(a) and Rule 15d-14(a)</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w:anchor="ea029794901ex32-1.htm">
              <w:r>
                <w:rPr>
                  <w:rStyle w:val="InternetLink"/>
                  <w:rFonts w:ascii="Times New Roman;Times;Serif" w:hAnsi="Times New Roman;Times;Serif"/>
                  <w:b w:val="false"/>
                  <w:i w:val="false"/>
                  <w:caps w:val="false"/>
                  <w:smallCaps w:val="false"/>
                  <w:sz w:val="20"/>
                </w:rPr>
                <w:t>Section 1350 Certification of Chief Executive Officer</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pPr>
            <w:hyperlink w:anchor="ea029794901ex32-2.htm">
              <w:r>
                <w:rPr>
                  <w:rStyle w:val="InternetLink"/>
                  <w:rFonts w:ascii="Times New Roman;Times;Serif" w:hAnsi="Times New Roman;Times;Serif"/>
                  <w:b w:val="false"/>
                  <w:i w:val="false"/>
                  <w:caps w:val="false"/>
                  <w:smallCaps w:val="false"/>
                  <w:sz w:val="20"/>
                </w:rPr>
                <w:t>Section 1350 Certification of Principal Financial Officer</w:t>
              </w:r>
            </w:hyperlink>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Document Set for the condensed consolidated financial statements and accompanying notes in Part I, Item 1, “Financial Statements” of this Quarterly Report on Form 10-Q</w:t>
            </w:r>
          </w:p>
        </w:tc>
      </w:tr>
      <w:tr>
        <w:trPr/>
        <w:tc>
          <w:tcPr>
            <w:tcW w:w="85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7" w:type="dxa"/>
            <w:gridSpan w:val="2"/>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8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for the cover page of this Quarterly Report on Form 10-Q,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aps w:val="false"/>
                <w:smallCaps w:val="false"/>
              </w:rPr>
            </w:pPr>
            <w:r>
              <w:rPr>
                <w:caps w:val="false"/>
                <w:smallCaps w:val="false"/>
              </w:rPr>
              <w:t>††</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Furnished herewith. </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Form 10-Q for the quarter ended June 30, 2010 filed with the Commission on August 3, 2010 and incorporated herein by reference (SEC File No. 000-16731).</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as an exhibit to Definitive 14C Information Statement filed with the Commission on June 29, 2010 and incorporated herein by reference (SEC File No. 000-16731).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65"/>
        <w:gridCol w:w="236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Marlan D. Walker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Ziegler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Ziegler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794901ex31-1.htm"/>
      <w:bookmarkStart w:id="22" w:name="ksea029794901ex311"/>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Marlan D. Walker, certify that:</w:t>
      </w:r>
    </w:p>
    <w:p>
      <w:pPr>
        <w:pStyle w:val="TextBody"/>
        <w:bidi w:val="0"/>
        <w:spacing w:before="0" w:after="0"/>
        <w:ind w:left="720" w:right="0" w:hanging="36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both"/>
              <w:rPr/>
            </w:pPr>
            <w:r>
              <w:rPr/>
              <w:t>I have reviewed this quarterly report on Form 10-Q of TherapeuticsMD,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both"/>
              <w:rPr/>
            </w:pPr>
            <w:r>
              <w:rPr/>
              <w:t> </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794901ex31-2.htm"/>
      <w:bookmarkStart w:id="24" w:name="ksea029794901ex312"/>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Ziegler, certify that:</w:t>
      </w:r>
    </w:p>
    <w:p>
      <w:pPr>
        <w:pStyle w:val="TextBody"/>
        <w:bidi w:val="0"/>
        <w:spacing w:before="0" w:after="0"/>
        <w:ind w:left="720" w:right="0" w:hanging="36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305"/>
        <w:gridCol w:w="7340"/>
      </w:tblGrid>
      <w:tr>
        <w:trPr/>
        <w:tc>
          <w:tcPr>
            <w:tcW w:w="305" w:type="dxa"/>
            <w:tcBorders/>
            <w:vAlign w:val="center"/>
          </w:tcPr>
          <w:p>
            <w:pPr>
              <w:pStyle w:val="TableContents"/>
              <w:bidi w:val="0"/>
              <w:spacing w:before="0" w:after="283"/>
              <w:jc w:val="left"/>
              <w:rPr/>
            </w:pPr>
            <w:r>
              <w:rPr/>
              <w:t>(1)</w:t>
            </w:r>
          </w:p>
        </w:tc>
        <w:tc>
          <w:tcPr>
            <w:tcW w:w="7340" w:type="dxa"/>
            <w:tcBorders/>
            <w:vAlign w:val="center"/>
          </w:tcPr>
          <w:p>
            <w:pPr>
              <w:pStyle w:val="TableContents"/>
              <w:bidi w:val="0"/>
              <w:spacing w:before="0" w:after="283"/>
              <w:jc w:val="both"/>
              <w:rPr/>
            </w:pPr>
            <w:r>
              <w:rPr/>
              <w:t>I have reviewed this quarterly report on Form 10-Q of TherapeuticsMD,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both"/>
              <w:rPr/>
            </w:pPr>
            <w:r>
              <w:rPr/>
              <w:t> </w:t>
            </w:r>
          </w:p>
        </w:tc>
        <w:tc>
          <w:tcPr>
            <w:tcW w:w="21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794901ex32-1.htm"/>
      <w:bookmarkStart w:id="26" w:name="ksea029794901ex321"/>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TherapeuticsMD, Inc. (the “Company”) on Form 10-Q for the quarterly period ended June 30, 2026 as filed with the Securities and Exchange Commission on the date hereof (the “Report”), I, Marlan D. Walker, Chief Executive Officer of the Company, certify, to my best knowledge and belief, pursuant to 18 U.S.C. § 1350, as adopted pursuant to § 906 of the Sarbanes-Oxley Act of 2002, that: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(1)</w:t>
            </w:r>
          </w:p>
        </w:tc>
        <w:tc>
          <w:tcPr>
            <w:tcW w:w="9865" w:type="dxa"/>
            <w:tcBorders/>
            <w:vAlign w:val="center"/>
          </w:tcPr>
          <w:p>
            <w:pPr>
              <w:pStyle w:val="TableContents"/>
              <w:bidi w:val="0"/>
              <w:spacing w:before="0" w:after="283"/>
              <w:jc w:val="left"/>
              <w:rPr/>
            </w:pPr>
            <w:r>
              <w:rPr/>
              <w:t>The Report fully complies with the requirements of Section 13(a) or 15(d) of the Securities Exchange Act of 1934 (15 U.S.C. 78m(a) or 78o(d)); and</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9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(2)</w:t>
            </w:r>
          </w:p>
        </w:tc>
        <w:tc>
          <w:tcPr>
            <w:tcW w:w="9865" w:type="dxa"/>
            <w:tcBorders/>
            <w:vAlign w:val="center"/>
          </w:tcPr>
          <w:p>
            <w:pPr>
              <w:pStyle w:val="TableContents"/>
              <w:bidi w:val="0"/>
              <w:spacing w:before="0" w:after="283"/>
              <w:jc w:val="left"/>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794901ex32-2.htm"/>
      <w:bookmarkStart w:id="28" w:name="ksea029794901ex322"/>
      <w:bookmarkEnd w:id="27"/>
      <w:bookmarkEnd w:id="2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TherapeuticsMD, Inc. (the “Company”) on Form 10-Q for the quarterly period ended June 30, 2026 as filed with the Securities and Exchange Commission on the date hereof (the “Report”), I, Joseph Ziegler, Principal Financial Officer of the Company, certify, to my best knowledge and belief, pursuant to 18 U.S.C. § 1350, as adopted pursuant to § 906 of the Sarbanes-Oxley Act of 2002, that: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(1)</w:t>
            </w:r>
          </w:p>
        </w:tc>
        <w:tc>
          <w:tcPr>
            <w:tcW w:w="9865" w:type="dxa"/>
            <w:tcBorders/>
            <w:vAlign w:val="center"/>
          </w:tcPr>
          <w:p>
            <w:pPr>
              <w:pStyle w:val="TableContents"/>
              <w:bidi w:val="0"/>
              <w:spacing w:before="0" w:after="283"/>
              <w:jc w:val="left"/>
              <w:rPr/>
            </w:pPr>
            <w:r>
              <w:rPr/>
              <w:t>The Report fully complies with the requirements of Section 13(a) or 15(d) of the Securities Exchange Act of 1934 (15 U.S.C. 78m(a) or 78o(d)); and</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98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(2)</w:t>
            </w:r>
          </w:p>
        </w:tc>
        <w:tc>
          <w:tcPr>
            <w:tcW w:w="9865" w:type="dxa"/>
            <w:tcBorders/>
            <w:vAlign w:val="center"/>
          </w:tcPr>
          <w:p>
            <w:pPr>
              <w:pStyle w:val="TableContents"/>
              <w:bidi w:val="0"/>
              <w:spacing w:before="0" w:after="283"/>
              <w:jc w:val="left"/>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5743/000119312510175462/dex35.htm" TargetMode="External"/><Relationship Id="rId3" Type="http://schemas.openxmlformats.org/officeDocument/2006/relationships/hyperlink" Target="https://www.sec.gov/Archives/edgar/data/25743/000119312510149198/ddef14c.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18898</Words>
  <Characters>103170</Characters>
  <CharactersWithSpaces>123024</CharactersWithSpaces>
  <Paragraphs>3737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